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8518F5" w:rsidRDefault="00265A85" w:rsidP="005B4561">
      <w:pPr>
        <w:ind w:right="-35"/>
        <w:rPr>
          <w:rFonts w:ascii="Bookman Old Style" w:hAnsi="Bookman Old Style" w:cs="Arial"/>
          <w:b/>
          <w:sz w:val="28"/>
          <w:szCs w:val="28"/>
          <w:lang w:val="el-GR"/>
        </w:rPr>
      </w:pPr>
      <w:bookmarkStart w:id="0" w:name="_GoBack"/>
      <w:bookmarkEnd w:id="0"/>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69125F63"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13</w:t>
      </w:r>
      <w:r w:rsidR="00970CCD" w:rsidRPr="006876CA">
        <w:rPr>
          <w:rFonts w:ascii="Bookman Old Style" w:hAnsi="Bookman Old Style" w:cs="Arial"/>
          <w:b/>
          <w:i/>
          <w:iCs/>
          <w:sz w:val="28"/>
          <w:szCs w:val="28"/>
          <w:lang w:val="el-GR"/>
        </w:rPr>
        <w:t>9</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970CCD" w:rsidRPr="006876CA">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0A7D67AA" w:rsidR="00265A85" w:rsidRPr="008518F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D92972">
        <w:rPr>
          <w:rFonts w:ascii="Bookman Old Style" w:hAnsi="Bookman Old Style" w:cs="Arial"/>
          <w:b/>
          <w:sz w:val="28"/>
          <w:szCs w:val="28"/>
          <w:lang w:val="el-GR"/>
        </w:rPr>
        <w:t xml:space="preserve">12 Δεκεμβρίου, </w:t>
      </w:r>
      <w:r w:rsidRPr="008518F5">
        <w:rPr>
          <w:rFonts w:ascii="Bookman Old Style" w:hAnsi="Bookman Old Style" w:cs="Arial"/>
          <w:b/>
          <w:sz w:val="28"/>
          <w:szCs w:val="28"/>
          <w:lang w:val="el-GR"/>
        </w:rPr>
        <w:t>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20BAD21C" w:rsidR="00265A85" w:rsidRPr="008518F5" w:rsidRDefault="006876CA" w:rsidP="0058023B">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ΕΤΑΙΡΕΙΑ ΜΩΣΑΙΚΩΝ ΜΑ.ΜΙ.ΠΑ. ΛΤΔ</w:t>
      </w:r>
      <w:r w:rsidR="00265A85" w:rsidRPr="008518F5">
        <w:rPr>
          <w:rFonts w:ascii="Bookman Old Style" w:hAnsi="Bookman Old Style" w:cs="Arial"/>
          <w:sz w:val="28"/>
          <w:szCs w:val="28"/>
          <w:lang w:val="el-GR"/>
        </w:rPr>
        <w:t>,</w:t>
      </w:r>
    </w:p>
    <w:p w14:paraId="54EB5619" w14:textId="77777777" w:rsidR="00265A85" w:rsidRPr="008518F5" w:rsidRDefault="00265A85" w:rsidP="0058023B">
      <w:pPr>
        <w:spacing w:line="276" w:lineRule="auto"/>
        <w:ind w:right="-35"/>
        <w:jc w:val="center"/>
        <w:rPr>
          <w:rFonts w:ascii="Bookman Old Style" w:hAnsi="Bookman Old Style" w:cs="Arial"/>
          <w:sz w:val="28"/>
          <w:szCs w:val="28"/>
          <w:lang w:val="el-GR"/>
        </w:rPr>
      </w:pPr>
    </w:p>
    <w:p w14:paraId="6352D4AC" w14:textId="355B2FCB" w:rsidR="00265A85" w:rsidRPr="008518F5" w:rsidRDefault="00904291" w:rsidP="0058023B">
      <w:pPr>
        <w:spacing w:line="276" w:lineRule="auto"/>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w:t>
      </w:r>
      <w:r w:rsidR="006876CA">
        <w:rPr>
          <w:rFonts w:ascii="Bookman Old Style" w:hAnsi="Bookman Old Style" w:cs="Arial"/>
          <w:i/>
          <w:iCs/>
          <w:sz w:val="28"/>
          <w:szCs w:val="28"/>
          <w:lang w:val="el-GR"/>
        </w:rPr>
        <w:t>ουσα</w:t>
      </w:r>
      <w:proofErr w:type="spellEnd"/>
      <w:r w:rsidR="00265A85" w:rsidRPr="008518F5">
        <w:rPr>
          <w:rFonts w:ascii="Bookman Old Style" w:hAnsi="Bookman Old Style" w:cs="Arial"/>
          <w:i/>
          <w:iCs/>
          <w:sz w:val="28"/>
          <w:szCs w:val="28"/>
          <w:lang w:val="el-GR"/>
        </w:rPr>
        <w:t>/Εν</w:t>
      </w:r>
      <w:r w:rsidR="006876CA">
        <w:rPr>
          <w:rFonts w:ascii="Bookman Old Style" w:hAnsi="Bookman Old Style" w:cs="Arial"/>
          <w:i/>
          <w:iCs/>
          <w:sz w:val="28"/>
          <w:szCs w:val="28"/>
          <w:lang w:val="el-GR"/>
        </w:rPr>
        <w:t>άγουσα</w:t>
      </w:r>
      <w:r w:rsidR="00265A85" w:rsidRPr="008518F5">
        <w:rPr>
          <w:rFonts w:ascii="Bookman Old Style" w:hAnsi="Bookman Old Style" w:cs="Arial"/>
          <w:i/>
          <w:iCs/>
          <w:sz w:val="28"/>
          <w:szCs w:val="28"/>
          <w:lang w:val="el-GR"/>
        </w:rPr>
        <w:t>,</w:t>
      </w:r>
    </w:p>
    <w:p w14:paraId="7BB5B148" w14:textId="77777777" w:rsidR="00265A85" w:rsidRPr="008518F5" w:rsidRDefault="00265A85" w:rsidP="0058023B">
      <w:pPr>
        <w:spacing w:line="276" w:lineRule="auto"/>
        <w:ind w:right="-35"/>
        <w:jc w:val="right"/>
        <w:rPr>
          <w:rFonts w:ascii="Bookman Old Style" w:hAnsi="Bookman Old Style" w:cs="Arial"/>
          <w:i/>
          <w:iCs/>
          <w:sz w:val="28"/>
          <w:szCs w:val="28"/>
          <w:lang w:val="el-GR"/>
        </w:rPr>
      </w:pPr>
    </w:p>
    <w:p w14:paraId="045F1F74" w14:textId="77777777" w:rsidR="00265A85" w:rsidRPr="008518F5" w:rsidRDefault="00265A85" w:rsidP="0058023B">
      <w:pPr>
        <w:spacing w:line="276" w:lineRule="auto"/>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0466833" w14:textId="77777777" w:rsidR="00265A85" w:rsidRPr="008518F5" w:rsidRDefault="00265A85" w:rsidP="0058023B">
      <w:pPr>
        <w:spacing w:line="276" w:lineRule="auto"/>
        <w:ind w:right="-35"/>
        <w:jc w:val="center"/>
        <w:rPr>
          <w:rFonts w:ascii="Bookman Old Style" w:hAnsi="Bookman Old Style" w:cs="Arial"/>
          <w:sz w:val="28"/>
          <w:szCs w:val="28"/>
          <w:lang w:val="el-GR"/>
        </w:rPr>
      </w:pPr>
    </w:p>
    <w:p w14:paraId="38185C2C" w14:textId="7FBCB61B" w:rsidR="00265A85" w:rsidRPr="008518F5" w:rsidRDefault="006876CA" w:rsidP="0058023B">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n-US"/>
        </w:rPr>
        <w:t>ALLAN</w:t>
      </w:r>
      <w:r w:rsidRPr="00CB6213">
        <w:rPr>
          <w:rFonts w:ascii="Bookman Old Style" w:hAnsi="Bookman Old Style" w:cs="Arial"/>
          <w:sz w:val="28"/>
          <w:szCs w:val="28"/>
          <w:lang w:val="el-GR"/>
        </w:rPr>
        <w:t xml:space="preserve"> </w:t>
      </w:r>
      <w:r>
        <w:rPr>
          <w:rFonts w:ascii="Bookman Old Style" w:hAnsi="Bookman Old Style" w:cs="Arial"/>
          <w:sz w:val="28"/>
          <w:szCs w:val="28"/>
          <w:lang w:val="en-US"/>
        </w:rPr>
        <w:t>VELIGALOUSKAYA</w:t>
      </w:r>
      <w:r w:rsidR="00265A85" w:rsidRPr="008518F5">
        <w:rPr>
          <w:rFonts w:ascii="Bookman Old Style" w:hAnsi="Bookman Old Style" w:cs="Arial"/>
          <w:sz w:val="28"/>
          <w:szCs w:val="28"/>
          <w:lang w:val="el-GR"/>
        </w:rPr>
        <w:t>,</w:t>
      </w:r>
    </w:p>
    <w:p w14:paraId="1994D030" w14:textId="77777777" w:rsidR="00265A85" w:rsidRPr="008518F5" w:rsidRDefault="00265A85" w:rsidP="0058023B">
      <w:pPr>
        <w:spacing w:line="276" w:lineRule="auto"/>
        <w:ind w:right="-35"/>
        <w:rPr>
          <w:rFonts w:ascii="Bookman Old Style" w:hAnsi="Bookman Old Style" w:cs="Arial"/>
          <w:sz w:val="28"/>
          <w:szCs w:val="28"/>
          <w:lang w:val="el-GR"/>
        </w:rPr>
      </w:pPr>
    </w:p>
    <w:p w14:paraId="7D0390DC" w14:textId="30766692" w:rsidR="00265A85" w:rsidRPr="008518F5" w:rsidRDefault="00265A85" w:rsidP="0058023B">
      <w:pPr>
        <w:spacing w:line="276" w:lineRule="auto"/>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6876CA">
        <w:rPr>
          <w:rFonts w:ascii="Bookman Old Style" w:hAnsi="Bookman Old Style" w:cs="Arial"/>
          <w:i/>
          <w:iCs/>
          <w:sz w:val="28"/>
          <w:szCs w:val="28"/>
          <w:lang w:val="el-GR"/>
        </w:rPr>
        <w:t>ης</w:t>
      </w:r>
      <w:r w:rsidRPr="008518F5">
        <w:rPr>
          <w:rFonts w:ascii="Bookman Old Style" w:hAnsi="Bookman Old Style" w:cs="Arial"/>
          <w:i/>
          <w:iCs/>
          <w:sz w:val="28"/>
          <w:szCs w:val="28"/>
          <w:lang w:val="el-GR"/>
        </w:rPr>
        <w:t>/Εν</w:t>
      </w:r>
      <w:r w:rsidR="006876CA">
        <w:rPr>
          <w:rFonts w:ascii="Bookman Old Style" w:hAnsi="Bookman Old Style" w:cs="Arial"/>
          <w:i/>
          <w:iCs/>
          <w:sz w:val="28"/>
          <w:szCs w:val="28"/>
          <w:lang w:val="el-GR"/>
        </w:rPr>
        <w:t>αγόμενης</w:t>
      </w:r>
      <w:r w:rsidRPr="008518F5">
        <w:rPr>
          <w:rFonts w:ascii="Bookman Old Style" w:hAnsi="Bookman Old Style" w:cs="Arial"/>
          <w:i/>
          <w:iCs/>
          <w:sz w:val="28"/>
          <w:szCs w:val="28"/>
          <w:lang w:val="el-GR"/>
        </w:rPr>
        <w:t>.</w:t>
      </w:r>
    </w:p>
    <w:p w14:paraId="2C14279B" w14:textId="77777777" w:rsidR="006876CA" w:rsidRDefault="006876CA" w:rsidP="0058023B">
      <w:pPr>
        <w:spacing w:line="276" w:lineRule="auto"/>
        <w:ind w:right="-35"/>
        <w:rPr>
          <w:rFonts w:ascii="Bookman Old Style" w:hAnsi="Bookman Old Style" w:cs="Arial"/>
          <w:i/>
          <w:iCs/>
          <w:sz w:val="28"/>
          <w:szCs w:val="28"/>
          <w:lang w:val="el-GR"/>
        </w:rPr>
      </w:pPr>
    </w:p>
    <w:p w14:paraId="18D7757C" w14:textId="7D6D32B6" w:rsidR="006876CA" w:rsidRDefault="006876CA" w:rsidP="0058023B">
      <w:pPr>
        <w:spacing w:line="276"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Ως </w:t>
      </w:r>
      <w:proofErr w:type="spellStart"/>
      <w:r>
        <w:rPr>
          <w:rFonts w:ascii="Bookman Old Style" w:hAnsi="Bookman Old Style" w:cs="Arial"/>
          <w:sz w:val="28"/>
          <w:szCs w:val="28"/>
          <w:lang w:val="el-GR"/>
        </w:rPr>
        <w:t>ετροποποιήθη</w:t>
      </w:r>
      <w:proofErr w:type="spellEnd"/>
      <w:r>
        <w:rPr>
          <w:rFonts w:ascii="Bookman Old Style" w:hAnsi="Bookman Old Style" w:cs="Arial"/>
          <w:sz w:val="28"/>
          <w:szCs w:val="28"/>
          <w:lang w:val="el-GR"/>
        </w:rPr>
        <w:t xml:space="preserve"> δυνάμει διατάγματος Ε.Δ. Λεμεσού ημερομηνίας 13/2/2009</w:t>
      </w:r>
    </w:p>
    <w:p w14:paraId="5B9F161F" w14:textId="77777777" w:rsidR="006876CA" w:rsidRPr="006876CA" w:rsidRDefault="006876CA" w:rsidP="0058023B">
      <w:pPr>
        <w:spacing w:line="276" w:lineRule="auto"/>
        <w:ind w:right="-35"/>
        <w:rPr>
          <w:rFonts w:ascii="Bookman Old Style" w:hAnsi="Bookman Old Style" w:cs="Arial"/>
          <w:sz w:val="28"/>
          <w:szCs w:val="28"/>
          <w:lang w:val="el-GR"/>
        </w:rPr>
      </w:pPr>
    </w:p>
    <w:p w14:paraId="62D85F1F" w14:textId="77777777" w:rsidR="006876CA" w:rsidRDefault="006876CA" w:rsidP="0058023B">
      <w:pPr>
        <w:spacing w:line="276" w:lineRule="auto"/>
        <w:ind w:right="-35"/>
        <w:jc w:val="right"/>
        <w:rPr>
          <w:rFonts w:ascii="Bookman Old Style" w:hAnsi="Bookman Old Style" w:cs="Arial"/>
          <w:i/>
          <w:iCs/>
          <w:sz w:val="28"/>
          <w:szCs w:val="28"/>
          <w:lang w:val="el-GR"/>
        </w:rPr>
      </w:pPr>
    </w:p>
    <w:p w14:paraId="05A3FABC" w14:textId="77777777" w:rsidR="006876CA" w:rsidRPr="008518F5" w:rsidRDefault="006876CA" w:rsidP="0058023B">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ΕΤΑΙΡΕΙΑ ΜΩΣΑΙΚΩΝ ΜΑ.ΜΙ.ΠΑ. ΛΤΔ</w:t>
      </w:r>
      <w:r w:rsidRPr="008518F5">
        <w:rPr>
          <w:rFonts w:ascii="Bookman Old Style" w:hAnsi="Bookman Old Style" w:cs="Arial"/>
          <w:sz w:val="28"/>
          <w:szCs w:val="28"/>
          <w:lang w:val="el-GR"/>
        </w:rPr>
        <w:t>,</w:t>
      </w:r>
    </w:p>
    <w:p w14:paraId="7ED6C4E0" w14:textId="77777777" w:rsidR="006876CA" w:rsidRPr="008518F5" w:rsidRDefault="006876CA" w:rsidP="0058023B">
      <w:pPr>
        <w:spacing w:line="276" w:lineRule="auto"/>
        <w:ind w:right="-35"/>
        <w:jc w:val="center"/>
        <w:rPr>
          <w:rFonts w:ascii="Bookman Old Style" w:hAnsi="Bookman Old Style" w:cs="Arial"/>
          <w:sz w:val="28"/>
          <w:szCs w:val="28"/>
          <w:lang w:val="el-GR"/>
        </w:rPr>
      </w:pPr>
    </w:p>
    <w:p w14:paraId="104BC9A0" w14:textId="77777777" w:rsidR="006876CA" w:rsidRPr="008518F5" w:rsidRDefault="006876CA" w:rsidP="0058023B">
      <w:pPr>
        <w:spacing w:line="276" w:lineRule="auto"/>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w:t>
      </w:r>
      <w:r>
        <w:rPr>
          <w:rFonts w:ascii="Bookman Old Style" w:hAnsi="Bookman Old Style" w:cs="Arial"/>
          <w:i/>
          <w:iCs/>
          <w:sz w:val="28"/>
          <w:szCs w:val="28"/>
          <w:lang w:val="el-GR"/>
        </w:rPr>
        <w:t>ουσα</w:t>
      </w:r>
      <w:proofErr w:type="spellEnd"/>
      <w:r w:rsidRPr="008518F5">
        <w:rPr>
          <w:rFonts w:ascii="Bookman Old Style" w:hAnsi="Bookman Old Style" w:cs="Arial"/>
          <w:i/>
          <w:iCs/>
          <w:sz w:val="28"/>
          <w:szCs w:val="28"/>
          <w:lang w:val="el-GR"/>
        </w:rPr>
        <w:t>/Εν</w:t>
      </w:r>
      <w:r>
        <w:rPr>
          <w:rFonts w:ascii="Bookman Old Style" w:hAnsi="Bookman Old Style" w:cs="Arial"/>
          <w:i/>
          <w:iCs/>
          <w:sz w:val="28"/>
          <w:szCs w:val="28"/>
          <w:lang w:val="el-GR"/>
        </w:rPr>
        <w:t>άγουσα</w:t>
      </w:r>
      <w:r w:rsidRPr="008518F5">
        <w:rPr>
          <w:rFonts w:ascii="Bookman Old Style" w:hAnsi="Bookman Old Style" w:cs="Arial"/>
          <w:i/>
          <w:iCs/>
          <w:sz w:val="28"/>
          <w:szCs w:val="28"/>
          <w:lang w:val="el-GR"/>
        </w:rPr>
        <w:t>,</w:t>
      </w:r>
    </w:p>
    <w:p w14:paraId="4682C987" w14:textId="77777777" w:rsidR="006876CA" w:rsidRPr="008518F5" w:rsidRDefault="006876CA" w:rsidP="0058023B">
      <w:pPr>
        <w:spacing w:line="276" w:lineRule="auto"/>
        <w:ind w:right="-35"/>
        <w:jc w:val="right"/>
        <w:rPr>
          <w:rFonts w:ascii="Bookman Old Style" w:hAnsi="Bookman Old Style" w:cs="Arial"/>
          <w:i/>
          <w:iCs/>
          <w:sz w:val="28"/>
          <w:szCs w:val="28"/>
          <w:lang w:val="el-GR"/>
        </w:rPr>
      </w:pPr>
    </w:p>
    <w:p w14:paraId="227A280C" w14:textId="77777777" w:rsidR="006876CA" w:rsidRPr="008518F5" w:rsidRDefault="006876CA" w:rsidP="0058023B">
      <w:pPr>
        <w:spacing w:line="276" w:lineRule="auto"/>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435F0C55" w14:textId="77777777" w:rsidR="006876CA" w:rsidRPr="008518F5" w:rsidRDefault="006876CA" w:rsidP="0058023B">
      <w:pPr>
        <w:spacing w:line="276" w:lineRule="auto"/>
        <w:ind w:right="-35"/>
        <w:jc w:val="center"/>
        <w:rPr>
          <w:rFonts w:ascii="Bookman Old Style" w:hAnsi="Bookman Old Style" w:cs="Arial"/>
          <w:sz w:val="28"/>
          <w:szCs w:val="28"/>
          <w:lang w:val="el-GR"/>
        </w:rPr>
      </w:pPr>
    </w:p>
    <w:p w14:paraId="72F5A1C1" w14:textId="77777777" w:rsidR="006876CA" w:rsidRDefault="006876CA" w:rsidP="0058023B">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n-US"/>
        </w:rPr>
        <w:t>ALLAN</w:t>
      </w:r>
      <w:r w:rsidRPr="006876CA">
        <w:rPr>
          <w:rFonts w:ascii="Bookman Old Style" w:hAnsi="Bookman Old Style" w:cs="Arial"/>
          <w:sz w:val="28"/>
          <w:szCs w:val="28"/>
          <w:lang w:val="el-GR"/>
        </w:rPr>
        <w:t xml:space="preserve"> </w:t>
      </w:r>
      <w:r>
        <w:rPr>
          <w:rFonts w:ascii="Bookman Old Style" w:hAnsi="Bookman Old Style" w:cs="Arial"/>
          <w:sz w:val="28"/>
          <w:szCs w:val="28"/>
          <w:lang w:val="en-US"/>
        </w:rPr>
        <w:t>VELIGALOUSKAYA</w:t>
      </w:r>
      <w:r>
        <w:rPr>
          <w:rFonts w:ascii="Bookman Old Style" w:hAnsi="Bookman Old Style" w:cs="Arial"/>
          <w:sz w:val="28"/>
          <w:szCs w:val="28"/>
          <w:lang w:val="el-GR"/>
        </w:rPr>
        <w:t xml:space="preserve"> ή άλλως</w:t>
      </w:r>
    </w:p>
    <w:p w14:paraId="3068E6A8" w14:textId="0DEE8276" w:rsidR="006876CA" w:rsidRPr="008518F5" w:rsidRDefault="006876CA" w:rsidP="0058023B">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n-US"/>
        </w:rPr>
        <w:t>ALLA</w:t>
      </w:r>
      <w:r w:rsidRPr="006876CA">
        <w:rPr>
          <w:rFonts w:ascii="Bookman Old Style" w:hAnsi="Bookman Old Style" w:cs="Arial"/>
          <w:sz w:val="28"/>
          <w:szCs w:val="28"/>
          <w:lang w:val="el-GR"/>
        </w:rPr>
        <w:t xml:space="preserve"> </w:t>
      </w:r>
      <w:r>
        <w:rPr>
          <w:rFonts w:ascii="Bookman Old Style" w:hAnsi="Bookman Old Style" w:cs="Arial"/>
          <w:sz w:val="28"/>
          <w:szCs w:val="28"/>
          <w:lang w:val="en-US"/>
        </w:rPr>
        <w:t>VELIKOLOUJSKAIA</w:t>
      </w:r>
      <w:r w:rsidRPr="008518F5">
        <w:rPr>
          <w:rFonts w:ascii="Bookman Old Style" w:hAnsi="Bookman Old Style" w:cs="Arial"/>
          <w:sz w:val="28"/>
          <w:szCs w:val="28"/>
          <w:lang w:val="el-GR"/>
        </w:rPr>
        <w:t>,</w:t>
      </w:r>
    </w:p>
    <w:p w14:paraId="43658356" w14:textId="77777777" w:rsidR="006876CA" w:rsidRPr="008518F5" w:rsidRDefault="006876CA" w:rsidP="0058023B">
      <w:pPr>
        <w:spacing w:line="276" w:lineRule="auto"/>
        <w:ind w:right="-35"/>
        <w:rPr>
          <w:rFonts w:ascii="Bookman Old Style" w:hAnsi="Bookman Old Style" w:cs="Arial"/>
          <w:sz w:val="28"/>
          <w:szCs w:val="28"/>
          <w:lang w:val="el-GR"/>
        </w:rPr>
      </w:pPr>
    </w:p>
    <w:p w14:paraId="286C5EF3" w14:textId="77777777" w:rsidR="006876CA" w:rsidRPr="008518F5" w:rsidRDefault="006876CA" w:rsidP="0058023B">
      <w:pPr>
        <w:spacing w:line="276" w:lineRule="auto"/>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Pr>
          <w:rFonts w:ascii="Bookman Old Style" w:hAnsi="Bookman Old Style" w:cs="Arial"/>
          <w:i/>
          <w:iCs/>
          <w:sz w:val="28"/>
          <w:szCs w:val="28"/>
          <w:lang w:val="el-GR"/>
        </w:rPr>
        <w:t>ης</w:t>
      </w:r>
      <w:r w:rsidRPr="008518F5">
        <w:rPr>
          <w:rFonts w:ascii="Bookman Old Style" w:hAnsi="Bookman Old Style" w:cs="Arial"/>
          <w:i/>
          <w:iCs/>
          <w:sz w:val="28"/>
          <w:szCs w:val="28"/>
          <w:lang w:val="el-GR"/>
        </w:rPr>
        <w:t>/Εν</w:t>
      </w:r>
      <w:r>
        <w:rPr>
          <w:rFonts w:ascii="Bookman Old Style" w:hAnsi="Bookman Old Style" w:cs="Arial"/>
          <w:i/>
          <w:iCs/>
          <w:sz w:val="28"/>
          <w:szCs w:val="28"/>
          <w:lang w:val="el-GR"/>
        </w:rPr>
        <w:t>αγόμενης</w:t>
      </w:r>
      <w:r w:rsidRPr="008518F5">
        <w:rPr>
          <w:rFonts w:ascii="Bookman Old Style" w:hAnsi="Bookman Old Style" w:cs="Arial"/>
          <w:i/>
          <w:iCs/>
          <w:sz w:val="28"/>
          <w:szCs w:val="28"/>
          <w:lang w:val="el-GR"/>
        </w:rPr>
        <w:t>.</w:t>
      </w:r>
    </w:p>
    <w:p w14:paraId="4484EE88" w14:textId="77777777" w:rsidR="006876CA" w:rsidRDefault="006876CA" w:rsidP="0058023B">
      <w:pPr>
        <w:spacing w:line="276" w:lineRule="auto"/>
        <w:ind w:right="-35"/>
        <w:jc w:val="right"/>
        <w:rPr>
          <w:rFonts w:ascii="Bookman Old Style" w:hAnsi="Bookman Old Style" w:cs="Arial"/>
          <w:i/>
          <w:iCs/>
          <w:sz w:val="28"/>
          <w:szCs w:val="28"/>
          <w:lang w:val="el-GR"/>
        </w:rPr>
      </w:pPr>
    </w:p>
    <w:p w14:paraId="65957122" w14:textId="7A3FE8E7" w:rsidR="006876CA" w:rsidRDefault="00E10F96" w:rsidP="00E10F96">
      <w:pPr>
        <w:ind w:right="-35"/>
        <w:jc w:val="both"/>
        <w:rPr>
          <w:rFonts w:ascii="Bookman Old Style" w:hAnsi="Bookman Old Style" w:cs="Arial"/>
          <w:i/>
          <w:iCs/>
          <w:sz w:val="28"/>
          <w:szCs w:val="28"/>
          <w:lang w:val="el-GR"/>
        </w:rPr>
      </w:pPr>
      <w:r>
        <w:rPr>
          <w:rFonts w:ascii="Bookman Old Style" w:hAnsi="Bookman Old Style" w:cs="Arial"/>
          <w:i/>
          <w:iCs/>
          <w:sz w:val="28"/>
          <w:szCs w:val="28"/>
          <w:lang w:val="el-GR"/>
        </w:rPr>
        <w:lastRenderedPageBreak/>
        <w:t xml:space="preserve">        </w:t>
      </w:r>
    </w:p>
    <w:p w14:paraId="2D111E44" w14:textId="60B2875B" w:rsidR="00265A85" w:rsidRPr="008518F5" w:rsidRDefault="00265A85" w:rsidP="006876CA">
      <w:pPr>
        <w:ind w:right="-35" w:firstLine="284"/>
        <w:jc w:val="both"/>
        <w:rPr>
          <w:rFonts w:ascii="Bookman Old Style" w:hAnsi="Bookman Old Style" w:cs="Arial"/>
          <w:iCs/>
          <w:sz w:val="28"/>
          <w:szCs w:val="28"/>
          <w:lang w:val="el-GR"/>
        </w:rPr>
      </w:pPr>
      <w:r w:rsidRPr="008518F5">
        <w:rPr>
          <w:rFonts w:ascii="Bookman Old Style" w:hAnsi="Bookman Old Style" w:cs="Arial"/>
          <w:iCs/>
          <w:sz w:val="28"/>
          <w:szCs w:val="28"/>
          <w:lang w:val="el-GR"/>
        </w:rPr>
        <w:t xml:space="preserve"> </w:t>
      </w:r>
      <w:r w:rsidR="006A037C">
        <w:rPr>
          <w:rFonts w:ascii="Bookman Old Style" w:hAnsi="Bookman Old Style" w:cs="Arial"/>
          <w:i/>
          <w:sz w:val="28"/>
          <w:szCs w:val="28"/>
          <w:lang w:val="el-GR"/>
        </w:rPr>
        <w:t xml:space="preserve">Ε. Μιχαηλίδου (κα) για </w:t>
      </w:r>
      <w:r w:rsidR="006A037C">
        <w:rPr>
          <w:rFonts w:ascii="Bookman Old Style" w:hAnsi="Bookman Old Style" w:cs="Arial"/>
          <w:i/>
          <w:sz w:val="28"/>
          <w:szCs w:val="28"/>
          <w:lang w:val="en-US"/>
        </w:rPr>
        <w:t>PHC</w:t>
      </w:r>
      <w:r w:rsidR="006A037C" w:rsidRPr="006A037C">
        <w:rPr>
          <w:rFonts w:ascii="Bookman Old Style" w:hAnsi="Bookman Old Style" w:cs="Arial"/>
          <w:i/>
          <w:sz w:val="28"/>
          <w:szCs w:val="28"/>
          <w:lang w:val="el-GR"/>
        </w:rPr>
        <w:t xml:space="preserve"> </w:t>
      </w:r>
      <w:r w:rsidR="006A037C">
        <w:rPr>
          <w:rFonts w:ascii="Bookman Old Style" w:hAnsi="Bookman Old Style" w:cs="Arial"/>
          <w:i/>
          <w:sz w:val="28"/>
          <w:szCs w:val="28"/>
          <w:lang w:val="en-US"/>
        </w:rPr>
        <w:t>TSANGARIDES</w:t>
      </w:r>
      <w:r w:rsidR="006A037C" w:rsidRPr="006A037C">
        <w:rPr>
          <w:rFonts w:ascii="Bookman Old Style" w:hAnsi="Bookman Old Style" w:cs="Arial"/>
          <w:i/>
          <w:sz w:val="28"/>
          <w:szCs w:val="28"/>
          <w:lang w:val="el-GR"/>
        </w:rPr>
        <w:t xml:space="preserve"> </w:t>
      </w:r>
      <w:r w:rsidR="006A037C">
        <w:rPr>
          <w:rFonts w:ascii="Bookman Old Style" w:hAnsi="Bookman Old Style" w:cs="Arial"/>
          <w:i/>
          <w:sz w:val="28"/>
          <w:szCs w:val="28"/>
          <w:lang w:val="en-US"/>
        </w:rPr>
        <w:t>LLC</w:t>
      </w:r>
      <w:r w:rsidR="006A037C">
        <w:rPr>
          <w:rFonts w:ascii="Bookman Old Style" w:hAnsi="Bookman Old Style" w:cs="Arial"/>
          <w:iCs/>
          <w:sz w:val="28"/>
          <w:szCs w:val="28"/>
          <w:lang w:val="el-GR"/>
        </w:rPr>
        <w:t>,</w:t>
      </w:r>
      <w:r w:rsidR="006A037C">
        <w:rPr>
          <w:rFonts w:ascii="Bookman Old Style" w:hAnsi="Bookman Old Style" w:cs="Arial"/>
          <w:i/>
          <w:sz w:val="28"/>
          <w:szCs w:val="28"/>
          <w:lang w:val="el-GR"/>
        </w:rPr>
        <w:t xml:space="preserve"> </w:t>
      </w:r>
      <w:r w:rsidRPr="008518F5">
        <w:rPr>
          <w:rFonts w:ascii="Bookman Old Style" w:hAnsi="Bookman Old Style" w:cs="Arial"/>
          <w:iCs/>
          <w:sz w:val="28"/>
          <w:szCs w:val="28"/>
          <w:lang w:val="el-GR"/>
        </w:rPr>
        <w:t>για τ</w:t>
      </w:r>
      <w:r w:rsidR="006876CA">
        <w:rPr>
          <w:rFonts w:ascii="Bookman Old Style" w:hAnsi="Bookman Old Style" w:cs="Arial"/>
          <w:iCs/>
          <w:sz w:val="28"/>
          <w:szCs w:val="28"/>
          <w:lang w:val="el-GR"/>
        </w:rPr>
        <w:t>η</w:t>
      </w:r>
      <w:r w:rsidRPr="008518F5">
        <w:rPr>
          <w:rFonts w:ascii="Bookman Old Style" w:hAnsi="Bookman Old Style" w:cs="Arial"/>
          <w:iCs/>
          <w:sz w:val="28"/>
          <w:szCs w:val="28"/>
          <w:lang w:val="el-GR"/>
        </w:rPr>
        <w:t xml:space="preserve">ν </w:t>
      </w:r>
      <w:proofErr w:type="spellStart"/>
      <w:r w:rsidRPr="008518F5">
        <w:rPr>
          <w:rFonts w:ascii="Bookman Old Style" w:hAnsi="Bookman Old Style" w:cs="Arial"/>
          <w:iCs/>
          <w:sz w:val="28"/>
          <w:szCs w:val="28"/>
          <w:lang w:val="el-GR"/>
        </w:rPr>
        <w:t>Εφεσείο</w:t>
      </w:r>
      <w:r w:rsidR="006876CA">
        <w:rPr>
          <w:rFonts w:ascii="Bookman Old Style" w:hAnsi="Bookman Old Style" w:cs="Arial"/>
          <w:iCs/>
          <w:sz w:val="28"/>
          <w:szCs w:val="28"/>
          <w:lang w:val="el-GR"/>
        </w:rPr>
        <w:t>υσ</w:t>
      </w:r>
      <w:r w:rsidRPr="008518F5">
        <w:rPr>
          <w:rFonts w:ascii="Bookman Old Style" w:hAnsi="Bookman Old Style" w:cs="Arial"/>
          <w:iCs/>
          <w:sz w:val="28"/>
          <w:szCs w:val="28"/>
          <w:lang w:val="el-GR"/>
        </w:rPr>
        <w:t>α</w:t>
      </w:r>
      <w:proofErr w:type="spellEnd"/>
      <w:r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8A31D3" w14:textId="2E6A8FEB" w:rsidR="00904291" w:rsidRDefault="00E10F96" w:rsidP="005B4561">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 xml:space="preserve"> </w:t>
      </w:r>
      <w:r w:rsidR="006A037C">
        <w:rPr>
          <w:rFonts w:ascii="Bookman Old Style" w:hAnsi="Bookman Old Style" w:cs="Arial"/>
          <w:i/>
          <w:sz w:val="28"/>
          <w:szCs w:val="28"/>
          <w:lang w:val="el-GR"/>
        </w:rPr>
        <w:t xml:space="preserve">Π. Κτίστη (κα) για Αντρέας </w:t>
      </w:r>
      <w:proofErr w:type="spellStart"/>
      <w:r w:rsidR="006A037C">
        <w:rPr>
          <w:rFonts w:ascii="Bookman Old Style" w:hAnsi="Bookman Old Style" w:cs="Arial"/>
          <w:i/>
          <w:sz w:val="28"/>
          <w:szCs w:val="28"/>
          <w:lang w:val="el-GR"/>
        </w:rPr>
        <w:t>Γιωρκάτζης</w:t>
      </w:r>
      <w:proofErr w:type="spellEnd"/>
      <w:r w:rsidR="006A037C">
        <w:rPr>
          <w:rFonts w:ascii="Bookman Old Style" w:hAnsi="Bookman Old Style" w:cs="Arial"/>
          <w:i/>
          <w:sz w:val="28"/>
          <w:szCs w:val="28"/>
          <w:lang w:val="el-GR"/>
        </w:rPr>
        <w:t xml:space="preserve"> ΔΕΠΕ, </w:t>
      </w:r>
      <w:r w:rsidR="00265A85" w:rsidRPr="008518F5">
        <w:rPr>
          <w:rFonts w:ascii="Bookman Old Style" w:hAnsi="Bookman Old Style" w:cs="Arial"/>
          <w:sz w:val="28"/>
          <w:szCs w:val="28"/>
          <w:lang w:val="el-GR"/>
        </w:rPr>
        <w:t>για τ</w:t>
      </w:r>
      <w:r w:rsidR="006876CA">
        <w:rPr>
          <w:rFonts w:ascii="Bookman Old Style" w:hAnsi="Bookman Old Style" w:cs="Arial"/>
          <w:sz w:val="28"/>
          <w:szCs w:val="28"/>
          <w:lang w:val="el-GR"/>
        </w:rPr>
        <w:t>ην</w:t>
      </w:r>
      <w:r w:rsidR="00265A85" w:rsidRPr="008518F5">
        <w:rPr>
          <w:rFonts w:ascii="Bookman Old Style" w:hAnsi="Bookman Old Style" w:cs="Arial"/>
          <w:sz w:val="28"/>
          <w:szCs w:val="28"/>
          <w:lang w:val="el-GR"/>
        </w:rPr>
        <w:t xml:space="preserve"> Εφεσίβλητ</w:t>
      </w:r>
      <w:r w:rsidR="006876CA">
        <w:rPr>
          <w:rFonts w:ascii="Bookman Old Style" w:hAnsi="Bookman Old Style" w:cs="Arial"/>
          <w:sz w:val="28"/>
          <w:szCs w:val="28"/>
          <w:lang w:val="el-GR"/>
        </w:rPr>
        <w:t>η</w:t>
      </w:r>
      <w:r w:rsidR="00265A85" w:rsidRPr="008518F5">
        <w:rPr>
          <w:rFonts w:ascii="Bookman Old Style" w:hAnsi="Bookman Old Style" w:cs="Arial"/>
          <w:iCs/>
          <w:sz w:val="28"/>
          <w:szCs w:val="28"/>
          <w:lang w:val="el-GR"/>
        </w:rPr>
        <w:t>.</w:t>
      </w:r>
    </w:p>
    <w:p w14:paraId="694BFFF2" w14:textId="77777777" w:rsidR="006A037C" w:rsidRPr="008518F5" w:rsidRDefault="006A037C" w:rsidP="005B4561">
      <w:pPr>
        <w:ind w:left="397" w:right="-35" w:hanging="113"/>
        <w:jc w:val="both"/>
        <w:rPr>
          <w:rFonts w:ascii="Bookman Old Style" w:hAnsi="Bookman Old Style" w:cs="Arial"/>
          <w:iCs/>
          <w:sz w:val="28"/>
          <w:szCs w:val="28"/>
          <w:lang w:val="el-GR"/>
        </w:rPr>
      </w:pPr>
    </w:p>
    <w:p w14:paraId="2017F530" w14:textId="61791325" w:rsidR="00904291" w:rsidRPr="0058023B" w:rsidRDefault="0058023B" w:rsidP="005B4561">
      <w:pPr>
        <w:spacing w:line="360" w:lineRule="auto"/>
        <w:ind w:left="2610" w:right="-35" w:hanging="2326"/>
        <w:jc w:val="both"/>
        <w:rPr>
          <w:rFonts w:ascii="Bookman Old Style" w:hAnsi="Bookman Old Style" w:cs="Arial"/>
          <w:b/>
          <w:sz w:val="28"/>
          <w:szCs w:val="28"/>
          <w:u w:val="double"/>
          <w:lang w:val="el-GR"/>
        </w:rPr>
      </w:pPr>
      <w:r w:rsidRPr="0058023B">
        <w:rPr>
          <w:rFonts w:ascii="Bookman Old Style" w:hAnsi="Bookman Old Style" w:cs="Arial"/>
          <w:b/>
          <w:sz w:val="28"/>
          <w:szCs w:val="28"/>
          <w:u w:val="double"/>
          <w:lang w:val="el-GR"/>
        </w:rPr>
        <w:t>__________________________________________________________________</w:t>
      </w:r>
    </w:p>
    <w:p w14:paraId="1702A59B" w14:textId="77777777" w:rsidR="004D4609" w:rsidRDefault="004D4609" w:rsidP="005B4561">
      <w:pPr>
        <w:spacing w:line="360" w:lineRule="auto"/>
        <w:ind w:left="2610" w:right="-35" w:hanging="2326"/>
        <w:jc w:val="both"/>
        <w:rPr>
          <w:rFonts w:ascii="Bookman Old Style" w:hAnsi="Bookman Old Style" w:cs="Arial"/>
          <w:b/>
          <w:sz w:val="28"/>
          <w:szCs w:val="28"/>
          <w:lang w:val="el-GR"/>
        </w:rPr>
      </w:pPr>
    </w:p>
    <w:p w14:paraId="5225F1E7" w14:textId="033EB06B" w:rsidR="00E544DA"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2D314F44" w14:textId="66583869" w:rsidR="0058023B" w:rsidRPr="003809F8" w:rsidRDefault="0058023B" w:rsidP="005B4561">
      <w:pPr>
        <w:spacing w:line="360" w:lineRule="auto"/>
        <w:ind w:left="2610" w:right="-35" w:hanging="2326"/>
        <w:jc w:val="both"/>
        <w:rPr>
          <w:rFonts w:ascii="Bookman Old Style" w:hAnsi="Bookman Old Style" w:cs="Arial"/>
          <w:b/>
          <w:sz w:val="28"/>
          <w:szCs w:val="28"/>
          <w:u w:val="double"/>
          <w:lang w:val="el-GR"/>
        </w:rPr>
      </w:pPr>
      <w:r w:rsidRPr="003809F8">
        <w:rPr>
          <w:rFonts w:ascii="Bookman Old Style" w:hAnsi="Bookman Old Style" w:cs="Arial"/>
          <w:b/>
          <w:sz w:val="28"/>
          <w:szCs w:val="28"/>
          <w:u w:val="double"/>
          <w:lang w:val="el-GR"/>
        </w:rPr>
        <w:t>___________________________________________________________________</w:t>
      </w:r>
    </w:p>
    <w:p w14:paraId="5AC562C9" w14:textId="77777777" w:rsidR="0058023B" w:rsidRDefault="0058023B" w:rsidP="005B4561">
      <w:pPr>
        <w:spacing w:line="360" w:lineRule="auto"/>
        <w:ind w:right="-35"/>
        <w:jc w:val="center"/>
        <w:rPr>
          <w:rFonts w:ascii="Bookman Old Style" w:hAnsi="Bookman Old Style" w:cs="Arial"/>
          <w:b/>
          <w:bCs/>
          <w:caps/>
          <w:sz w:val="36"/>
          <w:szCs w:val="36"/>
          <w:u w:val="thick"/>
          <w:lang w:val="el-GR"/>
        </w:rPr>
      </w:pPr>
    </w:p>
    <w:p w14:paraId="21CB534D" w14:textId="10F32454"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F105400" w14:textId="77777777" w:rsidR="00422938" w:rsidRPr="008518F5" w:rsidRDefault="00422938" w:rsidP="005B4561">
      <w:pPr>
        <w:spacing w:line="480" w:lineRule="auto"/>
        <w:ind w:right="-35"/>
        <w:jc w:val="both"/>
        <w:rPr>
          <w:rFonts w:ascii="Bookman Old Style" w:hAnsi="Bookman Old Style" w:cs="Arial"/>
          <w:b/>
          <w:sz w:val="28"/>
          <w:szCs w:val="28"/>
          <w:u w:val="single"/>
          <w:lang w:val="el-GR"/>
        </w:rPr>
      </w:pPr>
    </w:p>
    <w:p w14:paraId="507356CC" w14:textId="58A8F4F6" w:rsidR="00422938" w:rsidRDefault="00422938" w:rsidP="0096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970CCD">
        <w:rPr>
          <w:rFonts w:ascii="Bookman Old Style" w:hAnsi="Bookman Old Style" w:cs="Arial"/>
          <w:sz w:val="28"/>
          <w:szCs w:val="28"/>
          <w:lang w:val="el-GR"/>
        </w:rPr>
        <w:t xml:space="preserve">Μεταξύ της </w:t>
      </w:r>
      <w:proofErr w:type="spellStart"/>
      <w:r w:rsidR="00970CCD">
        <w:rPr>
          <w:rFonts w:ascii="Bookman Old Style" w:hAnsi="Bookman Old Style" w:cs="Arial"/>
          <w:sz w:val="28"/>
          <w:szCs w:val="28"/>
          <w:lang w:val="el-GR"/>
        </w:rPr>
        <w:t>Εφεσείουσας</w:t>
      </w:r>
      <w:proofErr w:type="spellEnd"/>
      <w:r w:rsidR="00970CCD">
        <w:rPr>
          <w:rFonts w:ascii="Bookman Old Style" w:hAnsi="Bookman Old Style" w:cs="Arial"/>
          <w:sz w:val="28"/>
          <w:szCs w:val="28"/>
          <w:lang w:val="el-GR"/>
        </w:rPr>
        <w:t xml:space="preserve"> Εταιρείας, η οποία ασχολείτο, μεταξύ άλλων, με την πώληση μαρμάρων, γρανιτών και υλικών οικοδομής, και της Εφεσίβλητης</w:t>
      </w:r>
      <w:r w:rsidR="00912D56" w:rsidRPr="00912D56">
        <w:rPr>
          <w:rFonts w:ascii="Bookman Old Style" w:hAnsi="Bookman Old Style" w:cs="Arial"/>
          <w:sz w:val="28"/>
          <w:szCs w:val="28"/>
          <w:lang w:val="el-GR"/>
        </w:rPr>
        <w:t>,</w:t>
      </w:r>
      <w:r w:rsidR="00970CCD">
        <w:rPr>
          <w:rFonts w:ascii="Bookman Old Style" w:hAnsi="Bookman Old Style" w:cs="Arial"/>
          <w:sz w:val="28"/>
          <w:szCs w:val="28"/>
          <w:lang w:val="el-GR"/>
        </w:rPr>
        <w:t xml:space="preserve"> υπήρξαν κατά τα έτη 2005-2007 συναλλαγές στο πλαίσιο των οποίων η </w:t>
      </w:r>
      <w:proofErr w:type="spellStart"/>
      <w:r w:rsidR="00970CCD">
        <w:rPr>
          <w:rFonts w:ascii="Bookman Old Style" w:hAnsi="Bookman Old Style" w:cs="Arial"/>
          <w:sz w:val="28"/>
          <w:szCs w:val="28"/>
          <w:lang w:val="el-GR"/>
        </w:rPr>
        <w:t>Εφεσείουσα</w:t>
      </w:r>
      <w:proofErr w:type="spellEnd"/>
      <w:r w:rsidR="00970CCD">
        <w:rPr>
          <w:rFonts w:ascii="Bookman Old Style" w:hAnsi="Bookman Old Style" w:cs="Arial"/>
          <w:sz w:val="28"/>
          <w:szCs w:val="28"/>
          <w:lang w:val="el-GR"/>
        </w:rPr>
        <w:t xml:space="preserve"> πώλησε στην Εφεσίβλητη και τοποθέτησε στην οικία της οικοδομικά υλικά. Μεταξύ τους προέκυψε η διαφορά η οποία αποτέλεσε το αντικείμενο της Αγωγής ενώπιον του πρωτόδικου Δικαστηρίου. Η </w:t>
      </w:r>
      <w:proofErr w:type="spellStart"/>
      <w:r w:rsidR="00970CCD">
        <w:rPr>
          <w:rFonts w:ascii="Bookman Old Style" w:hAnsi="Bookman Old Style" w:cs="Arial"/>
          <w:sz w:val="28"/>
          <w:szCs w:val="28"/>
          <w:lang w:val="el-GR"/>
        </w:rPr>
        <w:t>Εφεσείουσα</w:t>
      </w:r>
      <w:proofErr w:type="spellEnd"/>
      <w:r w:rsidR="00970CCD">
        <w:rPr>
          <w:rFonts w:ascii="Bookman Old Style" w:hAnsi="Bookman Old Style" w:cs="Arial"/>
          <w:sz w:val="28"/>
          <w:szCs w:val="28"/>
          <w:lang w:val="el-GR"/>
        </w:rPr>
        <w:t xml:space="preserve"> υποστήριξε και με την Αγωγή της αξίωσε ότι παρέμεινε οφειλόμενο υπόλοιπο ύψους </w:t>
      </w:r>
      <w:r w:rsidR="00202F30">
        <w:rPr>
          <w:rFonts w:ascii="Bookman Old Style" w:hAnsi="Bookman Old Style" w:cs="Arial"/>
          <w:sz w:val="28"/>
          <w:szCs w:val="28"/>
          <w:lang w:val="el-GR"/>
        </w:rPr>
        <w:t>€</w:t>
      </w:r>
      <w:r w:rsidR="00970CCD">
        <w:rPr>
          <w:rFonts w:ascii="Bookman Old Style" w:hAnsi="Bookman Old Style" w:cs="Arial"/>
          <w:sz w:val="28"/>
          <w:szCs w:val="28"/>
          <w:lang w:val="el-GR"/>
        </w:rPr>
        <w:t xml:space="preserve">28.616,56 (Λ.Κ. 16.745,60 σ.). Η Εφεσίβλητη ισχυρίστηκε ότι εξόφλησε πλήρως την </w:t>
      </w:r>
      <w:proofErr w:type="spellStart"/>
      <w:r w:rsidR="00970CCD">
        <w:rPr>
          <w:rFonts w:ascii="Bookman Old Style" w:hAnsi="Bookman Old Style" w:cs="Arial"/>
          <w:sz w:val="28"/>
          <w:szCs w:val="28"/>
          <w:lang w:val="el-GR"/>
        </w:rPr>
        <w:t>Εφεσείουσα</w:t>
      </w:r>
      <w:proofErr w:type="spellEnd"/>
      <w:r w:rsidR="00970CCD">
        <w:rPr>
          <w:rFonts w:ascii="Bookman Old Style" w:hAnsi="Bookman Old Style" w:cs="Arial"/>
          <w:sz w:val="28"/>
          <w:szCs w:val="28"/>
          <w:lang w:val="el-GR"/>
        </w:rPr>
        <w:t xml:space="preserve">, καθώς και ότι υπήρχε υπερχρέωση και παράδοση μικρότερης ποσότητας οικοδομικών υλικών από εκείνη που η </w:t>
      </w:r>
      <w:proofErr w:type="spellStart"/>
      <w:r w:rsidR="00970CCD">
        <w:rPr>
          <w:rFonts w:ascii="Bookman Old Style" w:hAnsi="Bookman Old Style" w:cs="Arial"/>
          <w:sz w:val="28"/>
          <w:szCs w:val="28"/>
          <w:lang w:val="el-GR"/>
        </w:rPr>
        <w:t>Εφεσείουσα</w:t>
      </w:r>
      <w:proofErr w:type="spellEnd"/>
      <w:r w:rsidR="00970CCD">
        <w:rPr>
          <w:rFonts w:ascii="Bookman Old Style" w:hAnsi="Bookman Old Style" w:cs="Arial"/>
          <w:sz w:val="28"/>
          <w:szCs w:val="28"/>
          <w:lang w:val="el-GR"/>
        </w:rPr>
        <w:t xml:space="preserve"> ισχυρίστηκε ότι της παρέδωσε. Ισχυρίστηκε επίσης και καταβολή ποσού για το οποίο δεν έλαβε από την </w:t>
      </w:r>
      <w:proofErr w:type="spellStart"/>
      <w:r w:rsidR="00970CCD">
        <w:rPr>
          <w:rFonts w:ascii="Bookman Old Style" w:hAnsi="Bookman Old Style" w:cs="Arial"/>
          <w:sz w:val="28"/>
          <w:szCs w:val="28"/>
          <w:lang w:val="el-GR"/>
        </w:rPr>
        <w:t>Εφεσείουσα</w:t>
      </w:r>
      <w:proofErr w:type="spellEnd"/>
      <w:r w:rsidR="00970CCD">
        <w:rPr>
          <w:rFonts w:ascii="Bookman Old Style" w:hAnsi="Bookman Old Style" w:cs="Arial"/>
          <w:sz w:val="28"/>
          <w:szCs w:val="28"/>
          <w:lang w:val="el-GR"/>
        </w:rPr>
        <w:t xml:space="preserve"> απόδειξη. </w:t>
      </w:r>
    </w:p>
    <w:p w14:paraId="20DDA324" w14:textId="77777777" w:rsidR="004D4609" w:rsidRDefault="004D4609" w:rsidP="00963265">
      <w:pPr>
        <w:spacing w:line="480" w:lineRule="auto"/>
        <w:ind w:right="-35"/>
        <w:jc w:val="both"/>
        <w:rPr>
          <w:rFonts w:ascii="Bookman Old Style" w:hAnsi="Bookman Old Style" w:cs="Arial"/>
          <w:sz w:val="28"/>
          <w:szCs w:val="28"/>
          <w:lang w:val="el-GR"/>
        </w:rPr>
      </w:pPr>
    </w:p>
    <w:p w14:paraId="1A34CE2D" w14:textId="7E322AC5" w:rsidR="00970CCD" w:rsidRDefault="00970CCD"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Προς υποστήριξη της απαίτησης </w:t>
      </w:r>
      <w:proofErr w:type="spellStart"/>
      <w:r>
        <w:rPr>
          <w:rFonts w:ascii="Bookman Old Style" w:hAnsi="Bookman Old Style" w:cs="Arial"/>
          <w:sz w:val="28"/>
          <w:szCs w:val="28"/>
          <w:lang w:val="el-GR"/>
        </w:rPr>
        <w:t>προσήχθη</w:t>
      </w:r>
      <w:proofErr w:type="spellEnd"/>
      <w:r>
        <w:rPr>
          <w:rFonts w:ascii="Bookman Old Style" w:hAnsi="Bookman Old Style" w:cs="Arial"/>
          <w:sz w:val="28"/>
          <w:szCs w:val="28"/>
          <w:lang w:val="el-GR"/>
        </w:rPr>
        <w:t xml:space="preserve"> μαρτυρία από μέρους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και συγκεκριμένα μαρτυρία ενός εκ των Διευθυντών </w:t>
      </w:r>
      <w:r w:rsidR="008A4C98">
        <w:rPr>
          <w:rFonts w:ascii="Bookman Old Style" w:hAnsi="Bookman Old Style" w:cs="Arial"/>
          <w:sz w:val="28"/>
          <w:szCs w:val="28"/>
          <w:lang w:val="el-GR"/>
        </w:rPr>
        <w:t>της (Μ.Ε.1)</w:t>
      </w:r>
      <w:r>
        <w:rPr>
          <w:rFonts w:ascii="Bookman Old Style" w:hAnsi="Bookman Old Style" w:cs="Arial"/>
          <w:sz w:val="28"/>
          <w:szCs w:val="28"/>
          <w:lang w:val="el-GR"/>
        </w:rPr>
        <w:t xml:space="preserve"> και μίας υπαλλήλου που εργαζόταν στο λογιστήριο της Εταιρείας</w:t>
      </w:r>
      <w:r w:rsidR="008A4C98">
        <w:rPr>
          <w:rFonts w:ascii="Bookman Old Style" w:hAnsi="Bookman Old Style" w:cs="Arial"/>
          <w:sz w:val="28"/>
          <w:szCs w:val="28"/>
          <w:lang w:val="el-GR"/>
        </w:rPr>
        <w:t xml:space="preserve"> (Μ.Ε.2)</w:t>
      </w:r>
      <w:r>
        <w:rPr>
          <w:rFonts w:ascii="Bookman Old Style" w:hAnsi="Bookman Old Style" w:cs="Arial"/>
          <w:sz w:val="28"/>
          <w:szCs w:val="28"/>
          <w:lang w:val="el-GR"/>
        </w:rPr>
        <w:t>, ενώ από πλευράς της Εφεσίβλητης</w:t>
      </w:r>
      <w:r w:rsidR="008A4C98">
        <w:rPr>
          <w:rFonts w:ascii="Bookman Old Style" w:hAnsi="Bookman Old Style" w:cs="Arial"/>
          <w:sz w:val="28"/>
          <w:szCs w:val="28"/>
          <w:lang w:val="el-GR"/>
        </w:rPr>
        <w:t xml:space="preserve"> (Μ.Υ.1)</w:t>
      </w:r>
      <w:r>
        <w:rPr>
          <w:rFonts w:ascii="Bookman Old Style" w:hAnsi="Bookman Old Style" w:cs="Arial"/>
          <w:sz w:val="28"/>
          <w:szCs w:val="28"/>
          <w:lang w:val="el-GR"/>
        </w:rPr>
        <w:t xml:space="preserve"> κατέθεσε η ίδια</w:t>
      </w:r>
      <w:r w:rsidR="00FF4898">
        <w:rPr>
          <w:rFonts w:ascii="Bookman Old Style" w:hAnsi="Bookman Old Style" w:cs="Arial"/>
          <w:sz w:val="28"/>
          <w:szCs w:val="28"/>
          <w:lang w:val="el-GR"/>
        </w:rPr>
        <w:t>,</w:t>
      </w:r>
      <w:r>
        <w:rPr>
          <w:rFonts w:ascii="Bookman Old Style" w:hAnsi="Bookman Old Style" w:cs="Arial"/>
          <w:sz w:val="28"/>
          <w:szCs w:val="28"/>
          <w:lang w:val="el-GR"/>
        </w:rPr>
        <w:t xml:space="preserve"> </w:t>
      </w:r>
      <w:r w:rsidR="00FF4898">
        <w:rPr>
          <w:rFonts w:ascii="Bookman Old Style" w:hAnsi="Bookman Old Style" w:cs="Arial"/>
          <w:sz w:val="28"/>
          <w:szCs w:val="28"/>
          <w:lang w:val="el-GR"/>
        </w:rPr>
        <w:t xml:space="preserve">καλώντας επίσης </w:t>
      </w:r>
      <w:r>
        <w:rPr>
          <w:rFonts w:ascii="Bookman Old Style" w:hAnsi="Bookman Old Style" w:cs="Arial"/>
          <w:sz w:val="28"/>
          <w:szCs w:val="28"/>
          <w:lang w:val="el-GR"/>
        </w:rPr>
        <w:t xml:space="preserve">ένα μάρτυρα. </w:t>
      </w:r>
    </w:p>
    <w:p w14:paraId="37591D60" w14:textId="77777777" w:rsidR="00970CCD" w:rsidRDefault="00970CCD" w:rsidP="00963265">
      <w:pPr>
        <w:spacing w:line="480" w:lineRule="auto"/>
        <w:ind w:right="-35"/>
        <w:jc w:val="both"/>
        <w:rPr>
          <w:rFonts w:ascii="Bookman Old Style" w:hAnsi="Bookman Old Style" w:cs="Arial"/>
          <w:sz w:val="28"/>
          <w:szCs w:val="28"/>
          <w:lang w:val="el-GR"/>
        </w:rPr>
      </w:pPr>
    </w:p>
    <w:p w14:paraId="61922C6F" w14:textId="17FC91DA" w:rsidR="00970CCD" w:rsidRDefault="00970CCD"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απέρριψε την Αγωγή λόγω της αποτυχίας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να αποδείξει την υπόθεσή της. Συγκεκριμένα, πέραν του γεγονότος ότι έκρινε αμφότερους τους μάρτυρες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αναξιόπιστους, κατέληξε ότι αυτοί δεν </w:t>
      </w:r>
      <w:proofErr w:type="spellStart"/>
      <w:r>
        <w:rPr>
          <w:rFonts w:ascii="Bookman Old Style" w:hAnsi="Bookman Old Style" w:cs="Arial"/>
          <w:sz w:val="28"/>
          <w:szCs w:val="28"/>
          <w:lang w:val="el-GR"/>
        </w:rPr>
        <w:t>ήσαν</w:t>
      </w:r>
      <w:proofErr w:type="spellEnd"/>
      <w:r>
        <w:rPr>
          <w:rFonts w:ascii="Bookman Old Style" w:hAnsi="Bookman Old Style" w:cs="Arial"/>
          <w:sz w:val="28"/>
          <w:szCs w:val="28"/>
          <w:lang w:val="el-GR"/>
        </w:rPr>
        <w:t xml:space="preserve"> γνώστες σημαντικών γεγονότων και στοιχείων που περιέχονταν σε </w:t>
      </w:r>
      <w:r w:rsidR="00442187">
        <w:rPr>
          <w:rFonts w:ascii="Bookman Old Style" w:hAnsi="Bookman Old Style" w:cs="Arial"/>
          <w:sz w:val="28"/>
          <w:szCs w:val="28"/>
          <w:lang w:val="el-GR"/>
        </w:rPr>
        <w:t>Κ</w:t>
      </w:r>
      <w:r>
        <w:rPr>
          <w:rFonts w:ascii="Bookman Old Style" w:hAnsi="Bookman Old Style" w:cs="Arial"/>
          <w:sz w:val="28"/>
          <w:szCs w:val="28"/>
          <w:lang w:val="el-GR"/>
        </w:rPr>
        <w:t xml:space="preserve">αταστάσεις </w:t>
      </w:r>
      <w:r w:rsidR="00442187">
        <w:rPr>
          <w:rFonts w:ascii="Bookman Old Style" w:hAnsi="Bookman Old Style" w:cs="Arial"/>
          <w:sz w:val="28"/>
          <w:szCs w:val="28"/>
          <w:lang w:val="el-GR"/>
        </w:rPr>
        <w:t>Λ</w:t>
      </w:r>
      <w:r>
        <w:rPr>
          <w:rFonts w:ascii="Bookman Old Style" w:hAnsi="Bookman Old Style" w:cs="Arial"/>
          <w:sz w:val="28"/>
          <w:szCs w:val="28"/>
          <w:lang w:val="el-GR"/>
        </w:rPr>
        <w:t xml:space="preserve">ογαριασμού που είχαν κατατεθεί στο Δικαστήριο για σκοπούς θεμελίωσης της αξίωσής τους. </w:t>
      </w:r>
      <w:r w:rsidR="00CB6213">
        <w:rPr>
          <w:rFonts w:ascii="Bookman Old Style" w:hAnsi="Bookman Old Style" w:cs="Arial"/>
          <w:sz w:val="28"/>
          <w:szCs w:val="28"/>
          <w:lang w:val="el-GR"/>
        </w:rPr>
        <w:t xml:space="preserve">Όπως συγκεκριμένα τέθηκε από το πρωτόδικο Δικαστήριο, οι μάρτυρες της </w:t>
      </w:r>
      <w:proofErr w:type="spellStart"/>
      <w:r w:rsidR="00CB6213">
        <w:rPr>
          <w:rFonts w:ascii="Bookman Old Style" w:hAnsi="Bookman Old Style" w:cs="Arial"/>
          <w:sz w:val="28"/>
          <w:szCs w:val="28"/>
          <w:lang w:val="el-GR"/>
        </w:rPr>
        <w:t>Εφεσείουσας</w:t>
      </w:r>
      <w:proofErr w:type="spellEnd"/>
      <w:r w:rsidR="00CB6213">
        <w:rPr>
          <w:rFonts w:ascii="Bookman Old Style" w:hAnsi="Bookman Old Style" w:cs="Arial"/>
          <w:sz w:val="28"/>
          <w:szCs w:val="28"/>
          <w:lang w:val="el-GR"/>
        </w:rPr>
        <w:t xml:space="preserve"> «</w:t>
      </w:r>
      <w:proofErr w:type="spellStart"/>
      <w:r w:rsidR="00CB6213">
        <w:rPr>
          <w:rFonts w:ascii="Bookman Old Style" w:hAnsi="Bookman Old Style" w:cs="Arial"/>
          <w:i/>
          <w:iCs/>
          <w:sz w:val="28"/>
          <w:szCs w:val="28"/>
          <w:lang w:val="el-GR"/>
        </w:rPr>
        <w:t>απότυχαν</w:t>
      </w:r>
      <w:proofErr w:type="spellEnd"/>
      <w:r w:rsidR="00CB6213">
        <w:rPr>
          <w:rFonts w:ascii="Bookman Old Style" w:hAnsi="Bookman Old Style" w:cs="Arial"/>
          <w:i/>
          <w:iCs/>
          <w:sz w:val="28"/>
          <w:szCs w:val="28"/>
          <w:lang w:val="el-GR"/>
        </w:rPr>
        <w:t xml:space="preserve"> να τεκμηριώσουν με θετικό τρόπο την ορθότητα, αλήθεια και ακρίβεια, με αποτέλεσμα, το ποσό που </w:t>
      </w:r>
      <w:proofErr w:type="spellStart"/>
      <w:r w:rsidR="00CB6213">
        <w:rPr>
          <w:rFonts w:ascii="Bookman Old Style" w:hAnsi="Bookman Old Style" w:cs="Arial"/>
          <w:i/>
          <w:iCs/>
          <w:sz w:val="28"/>
          <w:szCs w:val="28"/>
          <w:lang w:val="el-GR"/>
        </w:rPr>
        <w:t>εμφαίνεται</w:t>
      </w:r>
      <w:proofErr w:type="spellEnd"/>
      <w:r w:rsidR="00CB6213">
        <w:rPr>
          <w:rFonts w:ascii="Bookman Old Style" w:hAnsi="Bookman Old Style" w:cs="Arial"/>
          <w:i/>
          <w:iCs/>
          <w:sz w:val="28"/>
          <w:szCs w:val="28"/>
          <w:lang w:val="el-GR"/>
        </w:rPr>
        <w:t xml:space="preserve"> ως οφειλόμενο από την εναγόμενη, να μην μπορεί να θεωρηθεί άνευ άλλου ως ορθό και πραγματικά οφειλόμενο από αυτή. Και οι δύο καταστάσεις λογαριασμού ετοιμάστηκαν μονομερώς από τους ενάγοντες και δεν έχει αποδειχθεί ότι η εναγόμενη αποδέχθηκε το αναφερόμενο είτε στη μια είτε στην άλλη κατ’ ισχυρισμό τους οφειλόμενο υπόλοιπο</w:t>
      </w:r>
      <w:r w:rsidR="00CB6213">
        <w:rPr>
          <w:rFonts w:ascii="Bookman Old Style" w:hAnsi="Bookman Old Style" w:cs="Arial"/>
          <w:sz w:val="28"/>
          <w:szCs w:val="28"/>
          <w:lang w:val="el-GR"/>
        </w:rPr>
        <w:t>». Παράλληλα, το πρωτόδικο Δικα</w:t>
      </w:r>
      <w:r w:rsidR="008609BA">
        <w:rPr>
          <w:rFonts w:ascii="Bookman Old Style" w:hAnsi="Bookman Old Style" w:cs="Arial"/>
          <w:sz w:val="28"/>
          <w:szCs w:val="28"/>
          <w:lang w:val="el-GR"/>
        </w:rPr>
        <w:t>στή</w:t>
      </w:r>
      <w:r w:rsidR="00CB6213">
        <w:rPr>
          <w:rFonts w:ascii="Bookman Old Style" w:hAnsi="Bookman Old Style" w:cs="Arial"/>
          <w:sz w:val="28"/>
          <w:szCs w:val="28"/>
          <w:lang w:val="el-GR"/>
        </w:rPr>
        <w:t>ριο δεν αποδέχτηκε ούτε τη μαρτυρ</w:t>
      </w:r>
      <w:r w:rsidR="008609BA">
        <w:rPr>
          <w:rFonts w:ascii="Bookman Old Style" w:hAnsi="Bookman Old Style" w:cs="Arial"/>
          <w:sz w:val="28"/>
          <w:szCs w:val="28"/>
          <w:lang w:val="el-GR"/>
        </w:rPr>
        <w:t>ί</w:t>
      </w:r>
      <w:r w:rsidR="00CB6213">
        <w:rPr>
          <w:rFonts w:ascii="Bookman Old Style" w:hAnsi="Bookman Old Style" w:cs="Arial"/>
          <w:sz w:val="28"/>
          <w:szCs w:val="28"/>
          <w:lang w:val="el-GR"/>
        </w:rPr>
        <w:t>α της Εφεσίβλητης.</w:t>
      </w:r>
    </w:p>
    <w:p w14:paraId="6ED17098" w14:textId="77777777" w:rsidR="004D4609" w:rsidRDefault="004D4609" w:rsidP="00963265">
      <w:pPr>
        <w:spacing w:line="480" w:lineRule="auto"/>
        <w:ind w:right="-35"/>
        <w:jc w:val="both"/>
        <w:rPr>
          <w:rFonts w:ascii="Bookman Old Style" w:hAnsi="Bookman Old Style" w:cs="Arial"/>
          <w:sz w:val="28"/>
          <w:szCs w:val="28"/>
          <w:lang w:val="el-GR"/>
        </w:rPr>
      </w:pPr>
    </w:p>
    <w:p w14:paraId="7563F6C6" w14:textId="37F93777" w:rsidR="008A4C98" w:rsidRDefault="008A4C9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Συνοψίζοντας στην αρχή της Απόφασης του την κατάληξη του επί της αξιοπιστίας τόσο των μαρτύρων από πλευράς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όσο και της Εφεσίβλητης, το πρωτόδικο Δικαστήριο ανέφερε τα εξής:</w:t>
      </w:r>
    </w:p>
    <w:p w14:paraId="75AC15CB" w14:textId="77777777" w:rsidR="008A4C98" w:rsidRDefault="008A4C98" w:rsidP="00963265">
      <w:pPr>
        <w:spacing w:line="480" w:lineRule="auto"/>
        <w:ind w:right="-35"/>
        <w:jc w:val="both"/>
        <w:rPr>
          <w:rFonts w:ascii="Bookman Old Style" w:hAnsi="Bookman Old Style" w:cs="Arial"/>
          <w:sz w:val="28"/>
          <w:szCs w:val="28"/>
          <w:lang w:val="el-GR"/>
        </w:rPr>
      </w:pPr>
    </w:p>
    <w:p w14:paraId="7CC6C296" w14:textId="5BC5C3B6" w:rsidR="008A4C98" w:rsidRPr="008A4C98" w:rsidRDefault="008A4C98" w:rsidP="008A4C98">
      <w:pPr>
        <w:spacing w:line="276" w:lineRule="auto"/>
        <w:ind w:left="426" w:right="390"/>
        <w:jc w:val="both"/>
        <w:rPr>
          <w:rFonts w:ascii="Bookman Old Style" w:hAnsi="Bookman Old Style" w:cs="Arial"/>
          <w:sz w:val="26"/>
          <w:szCs w:val="26"/>
          <w:lang w:val="el-GR"/>
        </w:rPr>
      </w:pPr>
      <w:r w:rsidRPr="008A4C98">
        <w:rPr>
          <w:rFonts w:ascii="Bookman Old Style" w:hAnsi="Bookman Old Style" w:cs="Arial"/>
          <w:sz w:val="26"/>
          <w:szCs w:val="26"/>
          <w:lang w:val="el-GR"/>
        </w:rPr>
        <w:t xml:space="preserve">«Ομολογώ ότι η εντύπωσή μου για την ποιότητα της μαρτυρίας και την αξιοπιστία και των δύο μαρτύρων που </w:t>
      </w:r>
      <w:proofErr w:type="spellStart"/>
      <w:r w:rsidRPr="008A4C98">
        <w:rPr>
          <w:rFonts w:ascii="Bookman Old Style" w:hAnsi="Bookman Old Style" w:cs="Arial"/>
          <w:sz w:val="26"/>
          <w:szCs w:val="26"/>
          <w:lang w:val="el-GR"/>
        </w:rPr>
        <w:t>κατάθεσαν</w:t>
      </w:r>
      <w:proofErr w:type="spellEnd"/>
      <w:r w:rsidRPr="008A4C98">
        <w:rPr>
          <w:rFonts w:ascii="Bookman Old Style" w:hAnsi="Bookman Old Style" w:cs="Arial"/>
          <w:sz w:val="26"/>
          <w:szCs w:val="26"/>
          <w:lang w:val="el-GR"/>
        </w:rPr>
        <w:t xml:space="preserve"> για την υπόθεση των εναγόντων καθώς και της εναγόμενης είναι αρνητική. Και οι τρεις υπέπεσαν σε σοβαρές αντιφάσεις, κάθε άλλο παρά σταθεροί και θετικοί </w:t>
      </w:r>
      <w:proofErr w:type="spellStart"/>
      <w:r w:rsidRPr="008A4C98">
        <w:rPr>
          <w:rFonts w:ascii="Bookman Old Style" w:hAnsi="Bookman Old Style" w:cs="Arial"/>
          <w:sz w:val="26"/>
          <w:szCs w:val="26"/>
          <w:lang w:val="el-GR"/>
        </w:rPr>
        <w:t>ήσαν</w:t>
      </w:r>
      <w:proofErr w:type="spellEnd"/>
      <w:r w:rsidRPr="008A4C98">
        <w:rPr>
          <w:rFonts w:ascii="Bookman Old Style" w:hAnsi="Bookman Old Style" w:cs="Arial"/>
          <w:sz w:val="26"/>
          <w:szCs w:val="26"/>
          <w:lang w:val="el-GR"/>
        </w:rPr>
        <w:t xml:space="preserve"> στις θέσεις τους αναφορικά με καίριας σημασίας θέματα που περιβάλλουν την υπόθεση, ενώ σε αρκετές περιπτώσεις, από τις απαντήσεις τους σε διάφορες ερωτήσεις που τους υποβλήθηκαν, ήταν τελείως ξεκάθαρο, ότι, τα όσα ανάφεραν υπό μορφή απάντησης αποτελούσαν προϊόν υποθέσεων που έκαναν απλώς για να δώσουν κάποια απάντηση στην ερώτηση, παρά της γνώσης τους, έστω και εξ ακοής, αναφορικά με το γεγονός ή γεγονότα που κατά περίπτωση αφορούσε η ερώτηση. Απ' εκεί και πέρα είναι και το γεγονός, ότι προέβαλαν διάφορους ισχυρισμούς που παρέμειναν ατεκμηρίωτοι, είτε ακόμη που δεν υποβλήθηκαν στην άλλη πλευρά, για να της δοθεί η ευκαιρία, αν μη τι άλλο, να σχολιάσει. Τέλος, για να επαναλάβω, αρκετοί από τους ισχυρισμούς και θέσεις που προέβαλαν, ιδιαίτερα ο διευθυντής των εναγόντων καθώς και η εναγόμενη δεν καλύπτονται από τα δικόγραφα, είτε ακόμη συγκρούονται με αυτά. Ακολουθούν μερικά παραδείγματα από τη μαρτυρία και των τριών, τα οποία αιτιολογούν επαρκώς, πιστεύω, όλες τις παραπάνω διαπιστώσεις μου».</w:t>
      </w:r>
    </w:p>
    <w:p w14:paraId="1AE6ACD9" w14:textId="77777777" w:rsidR="008A4C98" w:rsidRDefault="008A4C98" w:rsidP="00963265">
      <w:pPr>
        <w:spacing w:line="480" w:lineRule="auto"/>
        <w:ind w:right="-35"/>
        <w:jc w:val="both"/>
        <w:rPr>
          <w:rFonts w:ascii="Bookman Old Style" w:hAnsi="Bookman Old Style" w:cs="Arial"/>
          <w:sz w:val="28"/>
          <w:szCs w:val="28"/>
          <w:lang w:val="el-GR"/>
        </w:rPr>
      </w:pPr>
    </w:p>
    <w:p w14:paraId="17744F65" w14:textId="3EABBBE5" w:rsidR="00D448A0" w:rsidRDefault="00D448A0"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πρωτόδικη </w:t>
      </w:r>
      <w:r w:rsidR="008A4C98">
        <w:rPr>
          <w:rFonts w:ascii="Bookman Old Style" w:hAnsi="Bookman Old Style" w:cs="Arial"/>
          <w:sz w:val="28"/>
          <w:szCs w:val="28"/>
          <w:lang w:val="el-GR"/>
        </w:rPr>
        <w:t xml:space="preserve">Απόφαση </w:t>
      </w:r>
      <w:r>
        <w:rPr>
          <w:rFonts w:ascii="Bookman Old Style" w:hAnsi="Bookman Old Style" w:cs="Arial"/>
          <w:sz w:val="28"/>
          <w:szCs w:val="28"/>
          <w:lang w:val="el-GR"/>
        </w:rPr>
        <w:t xml:space="preserve">προσβάλλεται ως λανθασμένη στη βάση </w:t>
      </w:r>
      <w:r w:rsidRPr="0058023B">
        <w:rPr>
          <w:rFonts w:ascii="Bookman Old Style" w:hAnsi="Bookman Old Style" w:cs="Arial"/>
          <w:b/>
          <w:bCs/>
          <w:sz w:val="28"/>
          <w:szCs w:val="28"/>
          <w:lang w:val="el-GR"/>
        </w:rPr>
        <w:t>τριών Λόγων Έφεσης</w:t>
      </w:r>
      <w:r>
        <w:rPr>
          <w:rFonts w:ascii="Bookman Old Style" w:hAnsi="Bookman Old Style" w:cs="Arial"/>
          <w:sz w:val="28"/>
          <w:szCs w:val="28"/>
          <w:lang w:val="el-GR"/>
        </w:rPr>
        <w:t>.</w:t>
      </w:r>
    </w:p>
    <w:p w14:paraId="1AAD5756" w14:textId="64CA5AD4" w:rsidR="00D448A0" w:rsidRDefault="00C92900" w:rsidP="0006108F">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1</w:t>
      </w:r>
      <w:r w:rsidRPr="00C92900">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λανθασμένα το πρωτόδικο Δικαστήριο απέρριψε την Αγωγή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χωρίς να λάβει υπόψη το μέρος της απαίτησης της το οποίο, στη βάση δικών του ευρημάτων,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απέδειξε και/ή χωρίς να εξετάσει τη μαρτυρία στο σύνολο της ή να δώσει οποιαδήποτε βαρύτητα στο μέρος της απαίτησης που δεν αμφισβητήθηκε και στις παραδοχές της ίδιας της Εφεσίβλητης.</w:t>
      </w:r>
      <w:r w:rsidR="00FB78D5">
        <w:rPr>
          <w:rFonts w:ascii="Bookman Old Style" w:hAnsi="Bookman Old Style" w:cs="Arial"/>
          <w:sz w:val="28"/>
          <w:szCs w:val="28"/>
          <w:lang w:val="el-GR"/>
        </w:rPr>
        <w:t xml:space="preserve"> Με το                    </w:t>
      </w:r>
      <w:r w:rsidR="00FB78D5">
        <w:rPr>
          <w:rFonts w:ascii="Bookman Old Style" w:hAnsi="Bookman Old Style" w:cs="Arial"/>
          <w:b/>
          <w:bCs/>
          <w:sz w:val="28"/>
          <w:szCs w:val="28"/>
          <w:lang w:val="el-GR"/>
        </w:rPr>
        <w:t>2</w:t>
      </w:r>
      <w:r w:rsidR="00FB78D5" w:rsidRPr="00FB78D5">
        <w:rPr>
          <w:rFonts w:ascii="Bookman Old Style" w:hAnsi="Bookman Old Style" w:cs="Arial"/>
          <w:b/>
          <w:bCs/>
          <w:sz w:val="28"/>
          <w:szCs w:val="28"/>
          <w:vertAlign w:val="superscript"/>
          <w:lang w:val="el-GR"/>
        </w:rPr>
        <w:t>ο</w:t>
      </w:r>
      <w:r w:rsidR="00FB78D5">
        <w:rPr>
          <w:rFonts w:ascii="Bookman Old Style" w:hAnsi="Bookman Old Style" w:cs="Arial"/>
          <w:b/>
          <w:bCs/>
          <w:sz w:val="28"/>
          <w:szCs w:val="28"/>
          <w:lang w:val="el-GR"/>
        </w:rPr>
        <w:t xml:space="preserve"> Λόγο Έφεσης</w:t>
      </w:r>
      <w:r w:rsidR="00FB78D5">
        <w:rPr>
          <w:rFonts w:ascii="Bookman Old Style" w:hAnsi="Bookman Old Style" w:cs="Arial"/>
          <w:sz w:val="28"/>
          <w:szCs w:val="28"/>
          <w:lang w:val="el-GR"/>
        </w:rPr>
        <w:t xml:space="preserve"> η </w:t>
      </w:r>
      <w:proofErr w:type="spellStart"/>
      <w:r w:rsidR="00FB78D5">
        <w:rPr>
          <w:rFonts w:ascii="Bookman Old Style" w:hAnsi="Bookman Old Style" w:cs="Arial"/>
          <w:sz w:val="28"/>
          <w:szCs w:val="28"/>
          <w:lang w:val="el-GR"/>
        </w:rPr>
        <w:t>Εφεσείουσα</w:t>
      </w:r>
      <w:proofErr w:type="spellEnd"/>
      <w:r w:rsidR="00FB78D5">
        <w:rPr>
          <w:rFonts w:ascii="Bookman Old Style" w:hAnsi="Bookman Old Style" w:cs="Arial"/>
          <w:sz w:val="28"/>
          <w:szCs w:val="28"/>
          <w:lang w:val="el-GR"/>
        </w:rPr>
        <w:t xml:space="preserve"> διατείνεται ότι το πρωτόδικο Δικαστήριο </w:t>
      </w:r>
      <w:r w:rsidR="0006108F">
        <w:rPr>
          <w:rFonts w:ascii="Bookman Old Style" w:hAnsi="Bookman Old Style" w:cs="Arial"/>
          <w:sz w:val="28"/>
          <w:szCs w:val="28"/>
          <w:lang w:val="el-GR"/>
        </w:rPr>
        <w:t xml:space="preserve">κατέληξε σε αυθαίρετα ευρήματα στην απουσία οποιουδήποτε </w:t>
      </w:r>
      <w:proofErr w:type="spellStart"/>
      <w:r w:rsidR="0006108F">
        <w:rPr>
          <w:rFonts w:ascii="Bookman Old Style" w:hAnsi="Bookman Old Style" w:cs="Arial"/>
          <w:sz w:val="28"/>
          <w:szCs w:val="28"/>
          <w:lang w:val="el-GR"/>
        </w:rPr>
        <w:t>δικογραφημένου</w:t>
      </w:r>
      <w:proofErr w:type="spellEnd"/>
      <w:r w:rsidR="0006108F">
        <w:rPr>
          <w:rFonts w:ascii="Bookman Old Style" w:hAnsi="Bookman Old Style" w:cs="Arial"/>
          <w:sz w:val="28"/>
          <w:szCs w:val="28"/>
          <w:lang w:val="el-GR"/>
        </w:rPr>
        <w:t xml:space="preserve"> ισχυρισμού από μέρους της Εφεσίβλητης </w:t>
      </w:r>
      <w:r w:rsidR="00AD7A69">
        <w:rPr>
          <w:rFonts w:ascii="Bookman Old Style" w:hAnsi="Bookman Old Style" w:cs="Arial"/>
          <w:sz w:val="28"/>
          <w:szCs w:val="28"/>
          <w:lang w:val="el-GR"/>
        </w:rPr>
        <w:t xml:space="preserve">ή οποιουδήποτε ισχυρισμού κατά το στάδιο της ακρόασης της υπόθεσης. Μέσω του </w:t>
      </w:r>
      <w:r w:rsidR="00AD7A69">
        <w:rPr>
          <w:rFonts w:ascii="Bookman Old Style" w:hAnsi="Bookman Old Style" w:cs="Arial"/>
          <w:b/>
          <w:bCs/>
          <w:sz w:val="28"/>
          <w:szCs w:val="28"/>
          <w:lang w:val="el-GR"/>
        </w:rPr>
        <w:t>3</w:t>
      </w:r>
      <w:r w:rsidR="00AD7A69" w:rsidRPr="00AD7A69">
        <w:rPr>
          <w:rFonts w:ascii="Bookman Old Style" w:hAnsi="Bookman Old Style" w:cs="Arial"/>
          <w:b/>
          <w:bCs/>
          <w:sz w:val="28"/>
          <w:szCs w:val="28"/>
          <w:vertAlign w:val="superscript"/>
          <w:lang w:val="el-GR"/>
        </w:rPr>
        <w:t>ου</w:t>
      </w:r>
      <w:r w:rsidR="00AD7A69">
        <w:rPr>
          <w:rFonts w:ascii="Bookman Old Style" w:hAnsi="Bookman Old Style" w:cs="Arial"/>
          <w:b/>
          <w:bCs/>
          <w:sz w:val="28"/>
          <w:szCs w:val="28"/>
          <w:lang w:val="el-GR"/>
        </w:rPr>
        <w:t xml:space="preserve"> Λόγου Έφεσης</w:t>
      </w:r>
      <w:r w:rsidR="00AD7A69">
        <w:rPr>
          <w:rFonts w:ascii="Bookman Old Style" w:hAnsi="Bookman Old Style" w:cs="Arial"/>
          <w:sz w:val="28"/>
          <w:szCs w:val="28"/>
          <w:lang w:val="el-GR"/>
        </w:rPr>
        <w:t xml:space="preserve"> προσβάλλονται τα ευρήματα του πρωτόδικου Δικαστηρίου αναφορικά με την αξιολόγηση της μαρτυρίας του Μ.Ε.1 ως αυθαίρετα </w:t>
      </w:r>
      <w:r w:rsidR="00796BE4">
        <w:rPr>
          <w:rFonts w:ascii="Bookman Old Style" w:hAnsi="Bookman Old Style" w:cs="Arial"/>
          <w:sz w:val="28"/>
          <w:szCs w:val="28"/>
          <w:lang w:val="el-GR"/>
        </w:rPr>
        <w:t xml:space="preserve">λόγω παρερμηνείας ή σύγχυσης της ενώπιον του μαρτυρίας και τεκμηρίων. </w:t>
      </w:r>
    </w:p>
    <w:p w14:paraId="167FAF45" w14:textId="77777777" w:rsidR="00202F30" w:rsidRDefault="00202F30" w:rsidP="0006108F">
      <w:pPr>
        <w:spacing w:line="480" w:lineRule="auto"/>
        <w:ind w:right="-35"/>
        <w:jc w:val="both"/>
        <w:rPr>
          <w:rFonts w:ascii="Bookman Old Style" w:hAnsi="Bookman Old Style" w:cs="Arial"/>
          <w:sz w:val="28"/>
          <w:szCs w:val="28"/>
          <w:lang w:val="el-GR"/>
        </w:rPr>
      </w:pPr>
    </w:p>
    <w:p w14:paraId="068D201B" w14:textId="4F8F180C" w:rsidR="0058023B" w:rsidRDefault="0058023B" w:rsidP="0058023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Αρχίζοντας από το ζήτημα της αξιοπιστίας παραπέμπουμε στην πάγια αρχή ότι η αξιολόγηση της αξιοπιστίας ανήκει κατ’ εξοχήν στο πρωτόδικο Δικαστήριο, το οποίο έχει τη δυνατότητα να ακούσει και να παρακολουθήσει τους μάρτυρες ενόσω καταθέτουν</w:t>
      </w:r>
      <w:r w:rsidR="008A4C98">
        <w:rPr>
          <w:rFonts w:ascii="Bookman Old Style" w:hAnsi="Bookman Old Style" w:cs="Arial"/>
          <w:sz w:val="28"/>
          <w:szCs w:val="28"/>
          <w:lang w:val="el-GR"/>
        </w:rPr>
        <w:t xml:space="preserve"> ενώπιον του.</w:t>
      </w:r>
      <w:r>
        <w:rPr>
          <w:rFonts w:ascii="Bookman Old Style" w:hAnsi="Bookman Old Style" w:cs="Arial"/>
          <w:sz w:val="28"/>
          <w:szCs w:val="28"/>
          <w:lang w:val="el-GR"/>
        </w:rPr>
        <w:t xml:space="preserve"> </w:t>
      </w:r>
    </w:p>
    <w:p w14:paraId="6F15614E" w14:textId="77777777" w:rsidR="0058023B" w:rsidRDefault="0058023B" w:rsidP="0058023B">
      <w:pPr>
        <w:spacing w:line="480" w:lineRule="auto"/>
        <w:ind w:right="-35"/>
        <w:jc w:val="both"/>
        <w:rPr>
          <w:rFonts w:ascii="Bookman Old Style" w:hAnsi="Bookman Old Style" w:cs="Arial"/>
          <w:sz w:val="28"/>
          <w:szCs w:val="28"/>
          <w:lang w:val="el-GR"/>
        </w:rPr>
      </w:pPr>
    </w:p>
    <w:p w14:paraId="2242E1B4" w14:textId="77777777" w:rsidR="0058023B" w:rsidRDefault="0058023B" w:rsidP="0058023B">
      <w:pPr>
        <w:spacing w:line="480" w:lineRule="auto"/>
        <w:ind w:right="-371"/>
        <w:jc w:val="both"/>
        <w:rPr>
          <w:rFonts w:ascii="Bookman Old Style" w:hAnsi="Bookman Old Style" w:cs="Arial"/>
          <w:sz w:val="28"/>
          <w:szCs w:val="28"/>
          <w:lang w:val="el-GR"/>
        </w:rPr>
      </w:pPr>
      <w:r>
        <w:rPr>
          <w:rFonts w:ascii="Bookman Old Style" w:hAnsi="Bookman Old Style" w:cs="Arial"/>
          <w:sz w:val="28"/>
          <w:szCs w:val="28"/>
          <w:lang w:val="el-GR"/>
        </w:rPr>
        <w:t xml:space="preserve">Όπως </w:t>
      </w:r>
      <w:proofErr w:type="spellStart"/>
      <w:r>
        <w:rPr>
          <w:rFonts w:ascii="Bookman Old Style" w:hAnsi="Bookman Old Style" w:cs="Arial"/>
          <w:sz w:val="28"/>
          <w:szCs w:val="28"/>
          <w:lang w:val="el-GR"/>
        </w:rPr>
        <w:t>ελέχθη</w:t>
      </w:r>
      <w:proofErr w:type="spellEnd"/>
      <w:r>
        <w:rPr>
          <w:rFonts w:ascii="Bookman Old Style" w:hAnsi="Bookman Old Style" w:cs="Arial"/>
          <w:sz w:val="28"/>
          <w:szCs w:val="28"/>
          <w:lang w:val="el-GR"/>
        </w:rPr>
        <w:t xml:space="preserve"> στην υπόθεση </w:t>
      </w:r>
      <w:r>
        <w:rPr>
          <w:rFonts w:ascii="Bookman Old Style" w:hAnsi="Bookman Old Style" w:cs="Arial"/>
          <w:b/>
          <w:bCs/>
          <w:i/>
          <w:iCs/>
          <w:sz w:val="28"/>
          <w:szCs w:val="28"/>
          <w:lang w:val="el-GR"/>
        </w:rPr>
        <w:t xml:space="preserve">Μιχαηλίδης ν. Οικονομίδη, Πολιτική Έφεση </w:t>
      </w:r>
      <w:proofErr w:type="spellStart"/>
      <w:r>
        <w:rPr>
          <w:rFonts w:ascii="Bookman Old Style" w:hAnsi="Bookman Old Style" w:cs="Arial"/>
          <w:b/>
          <w:bCs/>
          <w:i/>
          <w:iCs/>
          <w:sz w:val="28"/>
          <w:szCs w:val="28"/>
          <w:lang w:val="el-GR"/>
        </w:rPr>
        <w:t>Αρ</w:t>
      </w:r>
      <w:proofErr w:type="spellEnd"/>
      <w:r>
        <w:rPr>
          <w:rFonts w:ascii="Bookman Old Style" w:hAnsi="Bookman Old Style" w:cs="Arial"/>
          <w:b/>
          <w:bCs/>
          <w:i/>
          <w:iCs/>
          <w:sz w:val="28"/>
          <w:szCs w:val="28"/>
          <w:lang w:val="el-GR"/>
        </w:rPr>
        <w:t xml:space="preserve">. 94/2013, </w:t>
      </w:r>
      <w:proofErr w:type="spellStart"/>
      <w:r>
        <w:rPr>
          <w:rFonts w:ascii="Bookman Old Style" w:hAnsi="Bookman Old Style" w:cs="Arial"/>
          <w:b/>
          <w:bCs/>
          <w:i/>
          <w:iCs/>
          <w:sz w:val="28"/>
          <w:szCs w:val="28"/>
          <w:lang w:val="el-GR"/>
        </w:rPr>
        <w:t>ημερ</w:t>
      </w:r>
      <w:proofErr w:type="spellEnd"/>
      <w:r>
        <w:rPr>
          <w:rFonts w:ascii="Bookman Old Style" w:hAnsi="Bookman Old Style" w:cs="Arial"/>
          <w:b/>
          <w:bCs/>
          <w:i/>
          <w:iCs/>
          <w:sz w:val="28"/>
          <w:szCs w:val="28"/>
          <w:lang w:val="el-GR"/>
        </w:rPr>
        <w:t>. 30/6/2022</w:t>
      </w:r>
      <w:r>
        <w:rPr>
          <w:rFonts w:ascii="Bookman Old Style" w:hAnsi="Bookman Old Style" w:cs="Arial"/>
          <w:sz w:val="28"/>
          <w:szCs w:val="28"/>
          <w:lang w:val="el-GR"/>
        </w:rPr>
        <w:t>:</w:t>
      </w:r>
    </w:p>
    <w:p w14:paraId="7AD96D4F" w14:textId="77777777" w:rsidR="0058023B" w:rsidRPr="00D1378E" w:rsidRDefault="0058023B" w:rsidP="0058023B">
      <w:pPr>
        <w:spacing w:line="480" w:lineRule="auto"/>
        <w:ind w:right="-35"/>
        <w:jc w:val="both"/>
        <w:rPr>
          <w:rFonts w:ascii="Bookman Old Style" w:hAnsi="Bookman Old Style" w:cs="Arial"/>
          <w:sz w:val="28"/>
          <w:szCs w:val="28"/>
          <w:lang w:val="el-GR"/>
        </w:rPr>
      </w:pPr>
    </w:p>
    <w:p w14:paraId="02437560" w14:textId="4C373909" w:rsidR="0058023B" w:rsidRPr="00746A16" w:rsidRDefault="0058023B" w:rsidP="0058023B">
      <w:pPr>
        <w:spacing w:line="276" w:lineRule="auto"/>
        <w:ind w:left="426" w:right="390"/>
        <w:jc w:val="both"/>
        <w:rPr>
          <w:rFonts w:ascii="Bookman Old Style" w:hAnsi="Bookman Old Style" w:cs="Arial"/>
          <w:sz w:val="26"/>
          <w:szCs w:val="26"/>
          <w:lang w:val="el-GR"/>
        </w:rPr>
      </w:pPr>
      <w:r w:rsidRPr="00746A16">
        <w:rPr>
          <w:rFonts w:ascii="Bookman Old Style" w:hAnsi="Bookman Old Style"/>
          <w:sz w:val="26"/>
          <w:szCs w:val="26"/>
          <w:lang w:val="el-GR"/>
        </w:rPr>
        <w:t>«</w:t>
      </w:r>
      <w:r w:rsidRPr="00746A16">
        <w:rPr>
          <w:rFonts w:ascii="Bookman Old Style" w:hAnsi="Bookman Old Style"/>
          <w:i/>
          <w:iCs/>
          <w:sz w:val="26"/>
          <w:szCs w:val="26"/>
          <w:lang w:val="el-GR"/>
        </w:rPr>
        <w:t>Ουκ ολίγες φορές έχει λεχθεί ότι θέματα που σχετίζονται με την αξιοπιστία των μαρτύρων εμπίπτουν εντός της αρμοδιότητας των Πρωτόδικων Δικαστηρίων αφού αυτά είναι που βλέπουν και παρακολουθούν τους μάρτυρες την ώρα που αυτοί καταθέτουν (</w:t>
      </w:r>
      <w:r w:rsidRPr="00746A16">
        <w:rPr>
          <w:rFonts w:ascii="Bookman Old Style" w:hAnsi="Bookman Old Style"/>
          <w:b/>
          <w:bCs/>
          <w:i/>
          <w:iCs/>
          <w:sz w:val="26"/>
          <w:szCs w:val="26"/>
          <w:lang w:val="el-GR"/>
        </w:rPr>
        <w:t>Ζερβού κ.α. ν. Τράπεζα Κύπρου Δημόσια Εταιρεία (2011) 1(Γ) ΑΑΔ, 2192</w:t>
      </w:r>
      <w:r w:rsidRPr="00746A16">
        <w:rPr>
          <w:rFonts w:ascii="Bookman Old Style" w:hAnsi="Bookman Old Style"/>
          <w:i/>
          <w:iCs/>
          <w:sz w:val="26"/>
          <w:szCs w:val="26"/>
          <w:lang w:val="el-GR"/>
        </w:rPr>
        <w:t xml:space="preserve">). Η αξιοπιστία ενός μάρτυρα κρίνεται σε ένα πολύ ευρύ πλαίσιο, περιλαμβάνει δε και την υποκειμενική αντίληψη φιλαλήθειας των μαρτύρων εκ μέρους του </w:t>
      </w:r>
      <w:proofErr w:type="spellStart"/>
      <w:r w:rsidRPr="00746A16">
        <w:rPr>
          <w:rFonts w:ascii="Bookman Old Style" w:hAnsi="Bookman Old Style"/>
          <w:i/>
          <w:iCs/>
          <w:sz w:val="26"/>
          <w:szCs w:val="26"/>
          <w:lang w:val="el-GR"/>
        </w:rPr>
        <w:t>εκδικάζοντος</w:t>
      </w:r>
      <w:proofErr w:type="spellEnd"/>
      <w:r w:rsidRPr="00746A16">
        <w:rPr>
          <w:rFonts w:ascii="Bookman Old Style" w:hAnsi="Bookman Old Style"/>
          <w:i/>
          <w:iCs/>
          <w:sz w:val="26"/>
          <w:szCs w:val="26"/>
          <w:lang w:val="el-GR"/>
        </w:rPr>
        <w:t xml:space="preserve"> Δικαστή (</w:t>
      </w:r>
      <w:r w:rsidRPr="00746A16">
        <w:rPr>
          <w:rFonts w:ascii="Bookman Old Style" w:hAnsi="Bookman Old Style"/>
          <w:b/>
          <w:bCs/>
          <w:i/>
          <w:iCs/>
          <w:sz w:val="26"/>
          <w:szCs w:val="26"/>
          <w:lang w:val="el-GR"/>
        </w:rPr>
        <w:t>Χριστοφόρου ν. Αστυνομίας (2002) 2 ΑΑΔ, 407</w:t>
      </w:r>
      <w:r w:rsidRPr="00746A16">
        <w:rPr>
          <w:rFonts w:ascii="Bookman Old Style" w:hAnsi="Bookman Old Style"/>
          <w:i/>
          <w:iCs/>
          <w:sz w:val="26"/>
          <w:szCs w:val="26"/>
          <w:lang w:val="el-GR"/>
        </w:rPr>
        <w:t>). Ισχυρισμοί ενώπιον του Εφετείου ότι η πρωτόδικη αξιολόγηση της μαρτυρίας είναι εσφαλμένη ή αδικαιολόγητη θα πρέπει να τεκμηριώνονται με πειστικά επιχειρήματα. Εάν ήταν εύλογα επιτρεπτό για το Πρωτόδικο Δικαστήριο να προβεί στα συγκεκριμένα ευρήματα αξιοπιστίας, το Εφετείο δεν επεμβαίνει. Επεμβαίνει μόνο όταν αυτά εξ αντικειμένου εμφανίζονται ανυπόστατα ή παράλογα ή αυθαίρετα ή συγκρούονται με την κοινή λογική (</w:t>
      </w:r>
      <w:r w:rsidRPr="00746A16">
        <w:rPr>
          <w:rFonts w:ascii="Bookman Old Style" w:hAnsi="Bookman Old Style"/>
          <w:b/>
          <w:bCs/>
          <w:i/>
          <w:iCs/>
          <w:sz w:val="26"/>
          <w:szCs w:val="26"/>
          <w:lang w:val="el-GR"/>
        </w:rPr>
        <w:t>Ψωμάς ν. Δημοκρατίας (1993) 2 ΑΑΔ, 312</w:t>
      </w:r>
      <w:r w:rsidRPr="00746A16">
        <w:rPr>
          <w:rFonts w:ascii="Bookman Old Style" w:hAnsi="Bookman Old Style"/>
          <w:i/>
          <w:iCs/>
          <w:sz w:val="26"/>
          <w:szCs w:val="26"/>
          <w:lang w:val="el-GR"/>
        </w:rPr>
        <w:t xml:space="preserve"> και </w:t>
      </w:r>
      <w:proofErr w:type="spellStart"/>
      <w:r w:rsidRPr="00746A16">
        <w:rPr>
          <w:rFonts w:ascii="Bookman Old Style" w:hAnsi="Bookman Old Style"/>
          <w:b/>
          <w:bCs/>
          <w:i/>
          <w:iCs/>
          <w:sz w:val="26"/>
          <w:szCs w:val="26"/>
          <w:lang w:val="el-GR"/>
        </w:rPr>
        <w:t>Μαγκλή</w:t>
      </w:r>
      <w:proofErr w:type="spellEnd"/>
      <w:r w:rsidRPr="00746A16">
        <w:rPr>
          <w:rFonts w:ascii="Bookman Old Style" w:hAnsi="Bookman Old Style"/>
          <w:b/>
          <w:bCs/>
          <w:i/>
          <w:iCs/>
          <w:sz w:val="26"/>
          <w:szCs w:val="26"/>
          <w:lang w:val="el-GR"/>
        </w:rPr>
        <w:t xml:space="preserve"> ν. Δήμου </w:t>
      </w:r>
      <w:proofErr w:type="spellStart"/>
      <w:r w:rsidRPr="00746A16">
        <w:rPr>
          <w:rFonts w:ascii="Bookman Old Style" w:hAnsi="Bookman Old Style"/>
          <w:b/>
          <w:bCs/>
          <w:i/>
          <w:iCs/>
          <w:sz w:val="26"/>
          <w:szCs w:val="26"/>
          <w:lang w:val="el-GR"/>
        </w:rPr>
        <w:t>Γερμασόγειας</w:t>
      </w:r>
      <w:proofErr w:type="spellEnd"/>
      <w:r w:rsidRPr="00746A16">
        <w:rPr>
          <w:rFonts w:ascii="Bookman Old Style" w:hAnsi="Bookman Old Style"/>
          <w:b/>
          <w:bCs/>
          <w:i/>
          <w:iCs/>
          <w:sz w:val="26"/>
          <w:szCs w:val="26"/>
          <w:lang w:val="el-GR"/>
        </w:rPr>
        <w:t xml:space="preserve"> (1999) 2 ΑΑΔ, 244</w:t>
      </w:r>
      <w:r w:rsidRPr="00746A16">
        <w:rPr>
          <w:rFonts w:ascii="Bookman Old Style" w:hAnsi="Bookman Old Style"/>
          <w:i/>
          <w:iCs/>
          <w:sz w:val="26"/>
          <w:szCs w:val="26"/>
          <w:lang w:val="el-GR"/>
        </w:rPr>
        <w:t>).</w:t>
      </w:r>
      <w:r w:rsidR="00912D56">
        <w:rPr>
          <w:rFonts w:ascii="Bookman Old Style" w:hAnsi="Bookman Old Style"/>
          <w:i/>
          <w:iCs/>
          <w:sz w:val="26"/>
          <w:szCs w:val="26"/>
          <w:lang w:val="el-GR"/>
        </w:rPr>
        <w:t xml:space="preserve"> </w:t>
      </w:r>
      <w:r w:rsidRPr="00746A16">
        <w:rPr>
          <w:rFonts w:ascii="Bookman Old Style" w:hAnsi="Bookman Old Style"/>
          <w:i/>
          <w:iCs/>
          <w:sz w:val="26"/>
          <w:szCs w:val="26"/>
          <w:lang w:val="el-GR"/>
        </w:rPr>
        <w:t>Περαιτέρω τυχόν αντιφάσεις ή αδυναμίες που υπάρχουν στη μαρτυρία δεν αποτελούν λόγο επέμβασης του Εφετείου, εκτός αν είναι τόσο ουσιώδεις ώστε να οδηγούν στο συμπέρασμα ότι το Πρωτόδικο Δικαστήριο εσφαλμένα αποδέχθηκε τη μαρτυρία ως αξιόπιστη</w:t>
      </w:r>
      <w:r w:rsidRPr="00746A16">
        <w:rPr>
          <w:rFonts w:ascii="Bookman Old Style" w:hAnsi="Bookman Old Style"/>
          <w:sz w:val="26"/>
          <w:szCs w:val="26"/>
          <w:lang w:val="el-GR"/>
        </w:rPr>
        <w:t>».</w:t>
      </w:r>
    </w:p>
    <w:p w14:paraId="46961414" w14:textId="77777777" w:rsidR="0058023B" w:rsidRDefault="0058023B" w:rsidP="0006108F">
      <w:pPr>
        <w:spacing w:line="480" w:lineRule="auto"/>
        <w:ind w:right="-35"/>
        <w:jc w:val="both"/>
        <w:rPr>
          <w:rFonts w:ascii="Bookman Old Style" w:hAnsi="Bookman Old Style" w:cs="Arial"/>
          <w:sz w:val="28"/>
          <w:szCs w:val="28"/>
          <w:lang w:val="el-GR"/>
        </w:rPr>
      </w:pPr>
    </w:p>
    <w:p w14:paraId="73D59EEE" w14:textId="7A34B8A9" w:rsidR="00457CBF" w:rsidRDefault="003809F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Στο πλαίσιο προώθησης του </w:t>
      </w:r>
      <w:r>
        <w:rPr>
          <w:rFonts w:ascii="Bookman Old Style" w:hAnsi="Bookman Old Style" w:cs="Arial"/>
          <w:b/>
          <w:bCs/>
          <w:sz w:val="28"/>
          <w:szCs w:val="28"/>
          <w:lang w:val="el-GR"/>
        </w:rPr>
        <w:t>1</w:t>
      </w:r>
      <w:r w:rsidR="00A450CA">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η πλευρά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υποστήριξε ότι το πρωτόδικο Δικαστήριο παρερμηνεύοντας τις </w:t>
      </w:r>
      <w:proofErr w:type="spellStart"/>
      <w:r>
        <w:rPr>
          <w:rFonts w:ascii="Bookman Old Style" w:hAnsi="Bookman Old Style" w:cs="Arial"/>
          <w:sz w:val="28"/>
          <w:szCs w:val="28"/>
          <w:lang w:val="el-GR"/>
        </w:rPr>
        <w:t>νομολογιακές</w:t>
      </w:r>
      <w:proofErr w:type="spellEnd"/>
      <w:r>
        <w:rPr>
          <w:rFonts w:ascii="Bookman Old Style" w:hAnsi="Bookman Old Style" w:cs="Arial"/>
          <w:sz w:val="28"/>
          <w:szCs w:val="28"/>
          <w:lang w:val="el-GR"/>
        </w:rPr>
        <w:t xml:space="preserve"> αρχές, κατέληξε ότι απέτυχε να αποδείξει «</w:t>
      </w:r>
      <w:r>
        <w:rPr>
          <w:rFonts w:ascii="Bookman Old Style" w:hAnsi="Bookman Old Style" w:cs="Arial"/>
          <w:i/>
          <w:iCs/>
          <w:sz w:val="28"/>
          <w:szCs w:val="28"/>
          <w:lang w:val="el-GR"/>
        </w:rPr>
        <w:t>πλείστα όσα γεγονότα</w:t>
      </w:r>
      <w:r>
        <w:rPr>
          <w:rFonts w:ascii="Bookman Old Style" w:hAnsi="Bookman Old Style" w:cs="Arial"/>
          <w:sz w:val="28"/>
          <w:szCs w:val="28"/>
          <w:lang w:val="el-GR"/>
        </w:rPr>
        <w:t xml:space="preserve">» καταγράφονταν στον επίδικο λογαριασμό, χωρίς το Δικαστήριο να εξετάσει τη μαρτυρία στο σύνολο της και χωρίς να δοθεί οποιαδήποτε βαρύτητα στο μέρος της απαίτησης που δεν είχε αμφισβητηθεί και τις παραδοχές της ίδιας της Εφεσίβλητης. </w:t>
      </w:r>
      <w:r w:rsidR="004E04A8">
        <w:rPr>
          <w:rFonts w:ascii="Bookman Old Style" w:hAnsi="Bookman Old Style" w:cs="Arial"/>
          <w:sz w:val="28"/>
          <w:szCs w:val="28"/>
          <w:lang w:val="el-GR"/>
        </w:rPr>
        <w:t xml:space="preserve">Συναφής με τον </w:t>
      </w:r>
      <w:r w:rsidR="004E04A8" w:rsidRPr="008A4C98">
        <w:rPr>
          <w:rFonts w:ascii="Bookman Old Style" w:hAnsi="Bookman Old Style" w:cs="Arial"/>
          <w:b/>
          <w:bCs/>
          <w:sz w:val="28"/>
          <w:szCs w:val="28"/>
          <w:lang w:val="el-GR"/>
        </w:rPr>
        <w:t>1</w:t>
      </w:r>
      <w:r w:rsidR="004E04A8" w:rsidRPr="008A4C98">
        <w:rPr>
          <w:rFonts w:ascii="Bookman Old Style" w:hAnsi="Bookman Old Style" w:cs="Arial"/>
          <w:b/>
          <w:bCs/>
          <w:sz w:val="28"/>
          <w:szCs w:val="28"/>
          <w:vertAlign w:val="superscript"/>
          <w:lang w:val="el-GR"/>
        </w:rPr>
        <w:t>ο</w:t>
      </w:r>
      <w:r w:rsidR="004E04A8" w:rsidRPr="008A4C98">
        <w:rPr>
          <w:rFonts w:ascii="Bookman Old Style" w:hAnsi="Bookman Old Style" w:cs="Arial"/>
          <w:b/>
          <w:bCs/>
          <w:sz w:val="28"/>
          <w:szCs w:val="28"/>
          <w:lang w:val="el-GR"/>
        </w:rPr>
        <w:t xml:space="preserve"> Λόγο Έφεσης</w:t>
      </w:r>
      <w:r w:rsidR="004E04A8">
        <w:rPr>
          <w:rFonts w:ascii="Bookman Old Style" w:hAnsi="Bookman Old Style" w:cs="Arial"/>
          <w:sz w:val="28"/>
          <w:szCs w:val="28"/>
          <w:lang w:val="el-GR"/>
        </w:rPr>
        <w:t xml:space="preserve"> είναι και ο </w:t>
      </w:r>
      <w:r w:rsidR="004E04A8" w:rsidRPr="008A4C98">
        <w:rPr>
          <w:rFonts w:ascii="Bookman Old Style" w:hAnsi="Bookman Old Style" w:cs="Arial"/>
          <w:b/>
          <w:bCs/>
          <w:sz w:val="28"/>
          <w:szCs w:val="28"/>
          <w:lang w:val="el-GR"/>
        </w:rPr>
        <w:t>3</w:t>
      </w:r>
      <w:r w:rsidR="004E04A8" w:rsidRPr="008A4C98">
        <w:rPr>
          <w:rFonts w:ascii="Bookman Old Style" w:hAnsi="Bookman Old Style" w:cs="Arial"/>
          <w:b/>
          <w:bCs/>
          <w:sz w:val="28"/>
          <w:szCs w:val="28"/>
          <w:vertAlign w:val="superscript"/>
          <w:lang w:val="el-GR"/>
        </w:rPr>
        <w:t>ος</w:t>
      </w:r>
      <w:r w:rsidR="004E04A8" w:rsidRPr="008A4C98">
        <w:rPr>
          <w:rFonts w:ascii="Bookman Old Style" w:hAnsi="Bookman Old Style" w:cs="Arial"/>
          <w:b/>
          <w:bCs/>
          <w:sz w:val="28"/>
          <w:szCs w:val="28"/>
          <w:lang w:val="el-GR"/>
        </w:rPr>
        <w:t xml:space="preserve"> Λόγος Έφεσης</w:t>
      </w:r>
      <w:r w:rsidR="004E04A8">
        <w:rPr>
          <w:rFonts w:ascii="Bookman Old Style" w:hAnsi="Bookman Old Style" w:cs="Arial"/>
          <w:sz w:val="28"/>
          <w:szCs w:val="28"/>
          <w:lang w:val="el-GR"/>
        </w:rPr>
        <w:t xml:space="preserve"> μέσω του οποίου προβάλλεται ότι λανθασμένα και εντελώς αυθαίρετα</w:t>
      </w:r>
      <w:r w:rsidR="008A4C98">
        <w:rPr>
          <w:rFonts w:ascii="Bookman Old Style" w:hAnsi="Bookman Old Style" w:cs="Arial"/>
          <w:sz w:val="28"/>
          <w:szCs w:val="28"/>
          <w:lang w:val="el-GR"/>
        </w:rPr>
        <w:t xml:space="preserve"> το πρωτόδικο Δικαστήριο</w:t>
      </w:r>
      <w:r w:rsidR="004E04A8">
        <w:rPr>
          <w:rFonts w:ascii="Bookman Old Style" w:hAnsi="Bookman Old Style" w:cs="Arial"/>
          <w:sz w:val="28"/>
          <w:szCs w:val="28"/>
          <w:lang w:val="el-GR"/>
        </w:rPr>
        <w:t xml:space="preserve"> απέρριψε τη μαρτυρία του Μ.Ε.1, χωρίς να αντιληφθεί την ουσία της μαρτυρίας και εξάγοντας συμπεράσματα μέσω αποσπασματικής αξιολόγησής της, αλλά και παραλείποντας να αξιολογήσει τη μαρτυρία στο σύνολό της.</w:t>
      </w:r>
      <w:r w:rsidR="008E3B98">
        <w:rPr>
          <w:rFonts w:ascii="Bookman Old Style" w:hAnsi="Bookman Old Style" w:cs="Arial"/>
          <w:sz w:val="28"/>
          <w:szCs w:val="28"/>
          <w:lang w:val="el-GR"/>
        </w:rPr>
        <w:t xml:space="preserve"> </w:t>
      </w:r>
    </w:p>
    <w:p w14:paraId="0FD51518" w14:textId="77777777" w:rsidR="00A450CA" w:rsidRDefault="00A450CA" w:rsidP="00963265">
      <w:pPr>
        <w:spacing w:line="480" w:lineRule="auto"/>
        <w:ind w:right="-35"/>
        <w:jc w:val="both"/>
        <w:rPr>
          <w:rFonts w:ascii="Bookman Old Style" w:hAnsi="Bookman Old Style" w:cs="Arial"/>
          <w:sz w:val="28"/>
          <w:szCs w:val="28"/>
          <w:lang w:val="el-GR"/>
        </w:rPr>
      </w:pPr>
    </w:p>
    <w:p w14:paraId="0553A5F3" w14:textId="7D93DA9E" w:rsidR="00661A31" w:rsidRDefault="00A450CA" w:rsidP="008A4C98">
      <w:pPr>
        <w:spacing w:line="480" w:lineRule="auto"/>
        <w:ind w:right="-35"/>
        <w:jc w:val="both"/>
        <w:rPr>
          <w:rFonts w:ascii="Bookman Old Style" w:hAnsi="Bookman Old Style"/>
          <w:i/>
          <w:iCs/>
          <w:sz w:val="26"/>
          <w:szCs w:val="26"/>
          <w:lang w:val="el-GR"/>
        </w:rPr>
      </w:pPr>
      <w:r>
        <w:rPr>
          <w:rFonts w:ascii="Bookman Old Style" w:hAnsi="Bookman Old Style" w:cs="Arial"/>
          <w:sz w:val="28"/>
          <w:szCs w:val="28"/>
          <w:lang w:val="el-GR"/>
        </w:rPr>
        <w:t xml:space="preserve">Εν </w:t>
      </w:r>
      <w:proofErr w:type="spellStart"/>
      <w:r>
        <w:rPr>
          <w:rFonts w:ascii="Bookman Old Style" w:hAnsi="Bookman Old Style" w:cs="Arial"/>
          <w:sz w:val="28"/>
          <w:szCs w:val="28"/>
          <w:lang w:val="el-GR"/>
        </w:rPr>
        <w:t>πρώτοις</w:t>
      </w:r>
      <w:proofErr w:type="spellEnd"/>
      <w:r>
        <w:rPr>
          <w:rFonts w:ascii="Bookman Old Style" w:hAnsi="Bookman Old Style" w:cs="Arial"/>
          <w:sz w:val="28"/>
          <w:szCs w:val="28"/>
          <w:lang w:val="el-GR"/>
        </w:rPr>
        <w:t>, και προτού γίνει αναφορά στο έργο της αξιολόγησης του πρωτόδικου Δικαστηρίου στην προκείμενη περίπτωση, είναι σημαντικό να επισημάνουμε</w:t>
      </w:r>
      <w:r w:rsidR="000409BE">
        <w:rPr>
          <w:rFonts w:ascii="Bookman Old Style" w:hAnsi="Bookman Old Style" w:cs="Arial"/>
          <w:sz w:val="28"/>
          <w:szCs w:val="28"/>
          <w:lang w:val="el-GR"/>
        </w:rPr>
        <w:t xml:space="preserve"> </w:t>
      </w:r>
      <w:r>
        <w:rPr>
          <w:rFonts w:ascii="Bookman Old Style" w:hAnsi="Bookman Old Style" w:cs="Arial"/>
          <w:sz w:val="28"/>
          <w:szCs w:val="28"/>
          <w:lang w:val="el-GR"/>
        </w:rPr>
        <w:t>ότι η υπό κρίση περίπτωση αφορούσε σε απαίτηση για υπόλοιπο λογαριασμού. Δεν ήταν περίπτωση απαίτησης επί τη βάσει εκκαθαρισμένου λογαριασμού (</w:t>
      </w:r>
      <w:r w:rsidRPr="00956954">
        <w:rPr>
          <w:rFonts w:ascii="Bookman Old Style" w:hAnsi="Bookman Old Style" w:cs="Arial"/>
          <w:i/>
          <w:iCs/>
          <w:sz w:val="28"/>
          <w:szCs w:val="28"/>
          <w:lang w:val="en-US"/>
        </w:rPr>
        <w:t>account</w:t>
      </w:r>
      <w:r w:rsidRPr="00956954">
        <w:rPr>
          <w:rFonts w:ascii="Bookman Old Style" w:hAnsi="Bookman Old Style" w:cs="Arial"/>
          <w:i/>
          <w:iCs/>
          <w:sz w:val="28"/>
          <w:szCs w:val="28"/>
          <w:lang w:val="el-GR"/>
        </w:rPr>
        <w:t xml:space="preserve"> </w:t>
      </w:r>
      <w:r w:rsidRPr="00956954">
        <w:rPr>
          <w:rFonts w:ascii="Bookman Old Style" w:hAnsi="Bookman Old Style" w:cs="Arial"/>
          <w:i/>
          <w:iCs/>
          <w:sz w:val="28"/>
          <w:szCs w:val="28"/>
          <w:lang w:val="en-US"/>
        </w:rPr>
        <w:t>stated</w:t>
      </w:r>
      <w:r>
        <w:rPr>
          <w:rFonts w:ascii="Bookman Old Style" w:hAnsi="Bookman Old Style" w:cs="Arial"/>
          <w:sz w:val="28"/>
          <w:szCs w:val="28"/>
          <w:lang w:val="el-GR"/>
        </w:rPr>
        <w:t>).</w:t>
      </w:r>
      <w:r w:rsidR="000409BE">
        <w:rPr>
          <w:rFonts w:ascii="Bookman Old Style" w:hAnsi="Bookman Old Style" w:cs="Arial"/>
          <w:sz w:val="28"/>
          <w:szCs w:val="28"/>
          <w:lang w:val="el-GR"/>
        </w:rPr>
        <w:t xml:space="preserve"> Η ύπαρξη του χρέους ήταν εκείνο που η </w:t>
      </w:r>
      <w:proofErr w:type="spellStart"/>
      <w:r w:rsidR="000409BE">
        <w:rPr>
          <w:rFonts w:ascii="Bookman Old Style" w:hAnsi="Bookman Old Style" w:cs="Arial"/>
          <w:sz w:val="28"/>
          <w:szCs w:val="28"/>
          <w:lang w:val="el-GR"/>
        </w:rPr>
        <w:t>Εφεσείουσα</w:t>
      </w:r>
      <w:proofErr w:type="spellEnd"/>
      <w:r w:rsidR="000409BE">
        <w:rPr>
          <w:rFonts w:ascii="Bookman Old Style" w:hAnsi="Bookman Old Style" w:cs="Arial"/>
          <w:sz w:val="28"/>
          <w:szCs w:val="28"/>
          <w:lang w:val="el-GR"/>
        </w:rPr>
        <w:t xml:space="preserve"> </w:t>
      </w:r>
      <w:proofErr w:type="spellStart"/>
      <w:r w:rsidR="000409BE">
        <w:rPr>
          <w:rFonts w:ascii="Bookman Old Style" w:hAnsi="Bookman Old Style" w:cs="Arial"/>
          <w:sz w:val="28"/>
          <w:szCs w:val="28"/>
          <w:lang w:val="el-GR"/>
        </w:rPr>
        <w:t>βαρύνετο</w:t>
      </w:r>
      <w:proofErr w:type="spellEnd"/>
      <w:r w:rsidR="000409BE">
        <w:rPr>
          <w:rFonts w:ascii="Bookman Old Style" w:hAnsi="Bookman Old Style" w:cs="Arial"/>
          <w:sz w:val="28"/>
          <w:szCs w:val="28"/>
          <w:lang w:val="el-GR"/>
        </w:rPr>
        <w:t xml:space="preserve"> να αποδείξει</w:t>
      </w:r>
      <w:r w:rsidR="008A4C98">
        <w:rPr>
          <w:rFonts w:ascii="Bookman Old Style" w:hAnsi="Bookman Old Style" w:cs="Arial"/>
          <w:sz w:val="28"/>
          <w:szCs w:val="28"/>
          <w:lang w:val="el-GR"/>
        </w:rPr>
        <w:t xml:space="preserve"> παρουσιάζοντας μαρτυρία αναφορικά με τις καταγραφές στις Καταστάσεις Λογαριασμού</w:t>
      </w:r>
      <w:r w:rsidR="000409BE">
        <w:rPr>
          <w:rFonts w:ascii="Bookman Old Style" w:hAnsi="Bookman Old Style" w:cs="Arial"/>
          <w:sz w:val="28"/>
          <w:szCs w:val="28"/>
          <w:lang w:val="el-GR"/>
        </w:rPr>
        <w:t>. Το πρωτόδικο Δικαστήριο γνώριζε πολύ καλά την εν λόγω διάκριση</w:t>
      </w:r>
      <w:r w:rsidR="000409BE" w:rsidRPr="000409BE">
        <w:rPr>
          <w:rFonts w:ascii="Bookman Old Style" w:hAnsi="Bookman Old Style" w:cs="Arial"/>
          <w:sz w:val="28"/>
          <w:szCs w:val="28"/>
          <w:lang w:val="el-GR"/>
        </w:rPr>
        <w:t xml:space="preserve"> </w:t>
      </w:r>
      <w:r w:rsidR="000409BE">
        <w:rPr>
          <w:rFonts w:ascii="Bookman Old Style" w:hAnsi="Bookman Old Style" w:cs="Arial"/>
          <w:sz w:val="28"/>
          <w:szCs w:val="28"/>
          <w:lang w:val="el-GR"/>
        </w:rPr>
        <w:t>επισημαίνοντας τη διαφορά που υπάρχει στη στοιχειοθέτηση απαίτησης βασισμένης σε εκκαθαρισμένο λογαριασμό</w:t>
      </w:r>
      <w:r w:rsidR="00D6249E">
        <w:rPr>
          <w:rFonts w:ascii="Bookman Old Style" w:hAnsi="Bookman Old Style" w:cs="Arial"/>
          <w:sz w:val="28"/>
          <w:szCs w:val="28"/>
          <w:lang w:val="el-GR"/>
        </w:rPr>
        <w:t xml:space="preserve"> και τα κριτήρια για την απόδειξη της</w:t>
      </w:r>
      <w:r w:rsidR="000409BE">
        <w:rPr>
          <w:rFonts w:ascii="Bookman Old Style" w:hAnsi="Bookman Old Style" w:cs="Arial"/>
          <w:sz w:val="28"/>
          <w:szCs w:val="28"/>
          <w:lang w:val="el-GR"/>
        </w:rPr>
        <w:t xml:space="preserve"> από εκείνη η οποία είναι βασισμένη σε υπόλοιπο λογαριασμού. </w:t>
      </w:r>
    </w:p>
    <w:p w14:paraId="44152213" w14:textId="77777777" w:rsidR="00907AA4" w:rsidRDefault="00907AA4" w:rsidP="00D6249E">
      <w:pPr>
        <w:spacing w:line="276" w:lineRule="auto"/>
        <w:ind w:left="426" w:right="390"/>
        <w:jc w:val="both"/>
        <w:rPr>
          <w:rFonts w:ascii="Bookman Old Style" w:hAnsi="Bookman Old Style"/>
          <w:i/>
          <w:iCs/>
          <w:sz w:val="26"/>
          <w:szCs w:val="26"/>
          <w:lang w:val="el-GR"/>
        </w:rPr>
      </w:pPr>
    </w:p>
    <w:p w14:paraId="13461F23" w14:textId="73D96762" w:rsidR="00907AA4" w:rsidRPr="00907AA4" w:rsidRDefault="00907AA4" w:rsidP="00907AA4">
      <w:pPr>
        <w:spacing w:line="480" w:lineRule="auto"/>
        <w:ind w:right="-177"/>
        <w:jc w:val="both"/>
        <w:rPr>
          <w:rFonts w:ascii="Bookman Old Style" w:hAnsi="Bookman Old Style"/>
          <w:sz w:val="28"/>
          <w:szCs w:val="28"/>
          <w:lang w:val="el-GR"/>
        </w:rPr>
      </w:pPr>
      <w:r w:rsidRPr="00907AA4">
        <w:rPr>
          <w:rFonts w:ascii="Bookman Old Style" w:hAnsi="Bookman Old Style"/>
          <w:sz w:val="28"/>
          <w:szCs w:val="28"/>
          <w:lang w:val="el-GR"/>
        </w:rPr>
        <w:t xml:space="preserve">Όπως υπογραμμίστηκε στην υπόθεση </w:t>
      </w:r>
      <w:r w:rsidRPr="00907AA4">
        <w:rPr>
          <w:rFonts w:ascii="Bookman Old Style" w:hAnsi="Bookman Old Style"/>
          <w:b/>
          <w:bCs/>
          <w:i/>
          <w:iCs/>
          <w:sz w:val="28"/>
          <w:szCs w:val="28"/>
          <w:lang w:val="el-GR"/>
        </w:rPr>
        <w:t xml:space="preserve">Φιλική Ασφαλιστική Εταιρεία </w:t>
      </w:r>
      <w:proofErr w:type="spellStart"/>
      <w:r w:rsidRPr="00907AA4">
        <w:rPr>
          <w:rFonts w:ascii="Bookman Old Style" w:hAnsi="Bookman Old Style"/>
          <w:b/>
          <w:bCs/>
          <w:i/>
          <w:iCs/>
          <w:sz w:val="28"/>
          <w:szCs w:val="28"/>
          <w:lang w:val="el-GR"/>
        </w:rPr>
        <w:t>Λτδ</w:t>
      </w:r>
      <w:proofErr w:type="spellEnd"/>
      <w:r w:rsidRPr="00907AA4">
        <w:rPr>
          <w:rFonts w:ascii="Bookman Old Style" w:hAnsi="Bookman Old Style"/>
          <w:b/>
          <w:bCs/>
          <w:i/>
          <w:iCs/>
          <w:sz w:val="28"/>
          <w:szCs w:val="28"/>
          <w:lang w:val="el-GR"/>
        </w:rPr>
        <w:t xml:space="preserve"> </w:t>
      </w:r>
      <w:r w:rsidRPr="00907AA4">
        <w:rPr>
          <w:rFonts w:ascii="Bookman Old Style" w:hAnsi="Bookman Old Style" w:cs="Arial"/>
          <w:b/>
          <w:bCs/>
          <w:i/>
          <w:iCs/>
          <w:sz w:val="28"/>
          <w:szCs w:val="28"/>
          <w:lang w:val="en-US"/>
        </w:rPr>
        <w:t>v</w:t>
      </w:r>
      <w:r w:rsidRPr="00907AA4">
        <w:rPr>
          <w:rFonts w:ascii="Bookman Old Style" w:hAnsi="Bookman Old Style" w:cs="Arial"/>
          <w:b/>
          <w:bCs/>
          <w:i/>
          <w:iCs/>
          <w:sz w:val="28"/>
          <w:szCs w:val="28"/>
          <w:lang w:val="el-GR"/>
        </w:rPr>
        <w:t xml:space="preserve">. </w:t>
      </w:r>
      <w:r w:rsidRPr="00907AA4">
        <w:rPr>
          <w:rFonts w:ascii="Bookman Old Style" w:hAnsi="Bookman Old Style"/>
          <w:b/>
          <w:bCs/>
          <w:i/>
          <w:iCs/>
          <w:sz w:val="28"/>
          <w:szCs w:val="28"/>
          <w:lang w:val="el-GR"/>
        </w:rPr>
        <w:t>Κυριάκου κ.ά</w:t>
      </w:r>
      <w:r w:rsidR="008E3B98">
        <w:rPr>
          <w:rFonts w:ascii="Bookman Old Style" w:hAnsi="Bookman Old Style"/>
          <w:b/>
          <w:bCs/>
          <w:i/>
          <w:iCs/>
          <w:sz w:val="28"/>
          <w:szCs w:val="28"/>
          <w:lang w:val="el-GR"/>
        </w:rPr>
        <w:t>.</w:t>
      </w:r>
      <w:r w:rsidRPr="00907AA4">
        <w:rPr>
          <w:rFonts w:ascii="Bookman Old Style" w:hAnsi="Bookman Old Style"/>
          <w:b/>
          <w:bCs/>
          <w:i/>
          <w:iCs/>
          <w:sz w:val="28"/>
          <w:szCs w:val="28"/>
          <w:lang w:val="el-GR"/>
        </w:rPr>
        <w:t xml:space="preserve"> (2016) 1 Α.Α.Δ. 1628</w:t>
      </w:r>
      <w:r>
        <w:rPr>
          <w:rFonts w:ascii="Bookman Old Style" w:hAnsi="Bookman Old Style"/>
          <w:sz w:val="28"/>
          <w:szCs w:val="28"/>
          <w:lang w:val="el-GR"/>
        </w:rPr>
        <w:t>:</w:t>
      </w:r>
    </w:p>
    <w:p w14:paraId="3DBF8161" w14:textId="7A622FF8" w:rsidR="00907AA4" w:rsidRDefault="00907AA4" w:rsidP="00907AA4">
      <w:pPr>
        <w:spacing w:line="276" w:lineRule="auto"/>
        <w:ind w:left="426" w:right="390"/>
        <w:jc w:val="both"/>
        <w:rPr>
          <w:rFonts w:ascii="Bookman Old Style" w:hAnsi="Bookman Old Style"/>
          <w:sz w:val="26"/>
          <w:szCs w:val="26"/>
          <w:lang w:val="el-GR"/>
        </w:rPr>
      </w:pPr>
      <w:r>
        <w:rPr>
          <w:rFonts w:ascii="Bookman Old Style" w:hAnsi="Bookman Old Style"/>
          <w:sz w:val="26"/>
          <w:szCs w:val="26"/>
          <w:lang w:val="el-GR"/>
        </w:rPr>
        <w:t>«</w:t>
      </w:r>
      <w:r w:rsidRPr="00907AA4">
        <w:rPr>
          <w:rFonts w:ascii="Bookman Old Style" w:hAnsi="Bookman Old Style"/>
          <w:i/>
          <w:iCs/>
          <w:sz w:val="26"/>
          <w:szCs w:val="26"/>
          <w:lang w:val="el-GR"/>
        </w:rPr>
        <w:t xml:space="preserve">Μια κατάσταση λογαριασμού δεν αποτελεί αφ' </w:t>
      </w:r>
      <w:proofErr w:type="spellStart"/>
      <w:r w:rsidRPr="00907AA4">
        <w:rPr>
          <w:rFonts w:ascii="Bookman Old Style" w:hAnsi="Bookman Old Style"/>
          <w:i/>
          <w:iCs/>
          <w:sz w:val="26"/>
          <w:szCs w:val="26"/>
          <w:lang w:val="el-GR"/>
        </w:rPr>
        <w:t>εαυτής</w:t>
      </w:r>
      <w:proofErr w:type="spellEnd"/>
      <w:r w:rsidRPr="00907AA4">
        <w:rPr>
          <w:rFonts w:ascii="Bookman Old Style" w:hAnsi="Bookman Old Style"/>
          <w:i/>
          <w:iCs/>
          <w:sz w:val="26"/>
          <w:szCs w:val="26"/>
          <w:lang w:val="el-GR"/>
        </w:rPr>
        <w:t xml:space="preserve"> απόδειξη των όσων καταγράφονται, (βλ. </w:t>
      </w:r>
      <w:r w:rsidRPr="00907AA4">
        <w:rPr>
          <w:rFonts w:ascii="Bookman Old Style" w:hAnsi="Bookman Old Style"/>
          <w:b/>
          <w:bCs/>
          <w:i/>
          <w:iCs/>
          <w:sz w:val="26"/>
          <w:szCs w:val="26"/>
          <w:lang w:val="en-US"/>
        </w:rPr>
        <w:t>D</w:t>
      </w:r>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and</w:t>
      </w:r>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G</w:t>
      </w:r>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Products</w:t>
      </w:r>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Ltd</w:t>
      </w:r>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v</w:t>
      </w:r>
      <w:r w:rsidRPr="00907AA4">
        <w:rPr>
          <w:rFonts w:ascii="Bookman Old Style" w:hAnsi="Bookman Old Style"/>
          <w:b/>
          <w:bCs/>
          <w:i/>
          <w:iCs/>
          <w:sz w:val="26"/>
          <w:szCs w:val="26"/>
          <w:lang w:val="el-GR"/>
        </w:rPr>
        <w:t xml:space="preserve">. </w:t>
      </w:r>
      <w:proofErr w:type="spellStart"/>
      <w:r w:rsidRPr="00907AA4">
        <w:rPr>
          <w:rFonts w:ascii="Bookman Old Style" w:hAnsi="Bookman Old Style"/>
          <w:b/>
          <w:bCs/>
          <w:i/>
          <w:iCs/>
          <w:sz w:val="26"/>
          <w:szCs w:val="26"/>
          <w:lang w:val="en-US"/>
        </w:rPr>
        <w:t>Premixco</w:t>
      </w:r>
      <w:proofErr w:type="spellEnd"/>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Asphalting</w:t>
      </w:r>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Company</w:t>
      </w:r>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Ltd</w:t>
      </w:r>
      <w:r w:rsidRPr="00907AA4">
        <w:rPr>
          <w:rFonts w:ascii="Bookman Old Style" w:hAnsi="Bookman Old Style"/>
          <w:b/>
          <w:bCs/>
          <w:i/>
          <w:iCs/>
          <w:sz w:val="26"/>
          <w:szCs w:val="26"/>
          <w:lang w:val="el-GR"/>
        </w:rPr>
        <w:t xml:space="preserve"> (1999) 1 Α.Α.Δ. 263 </w:t>
      </w:r>
      <w:r w:rsidRPr="00907AA4">
        <w:rPr>
          <w:rFonts w:ascii="Bookman Old Style" w:hAnsi="Bookman Old Style"/>
          <w:i/>
          <w:iCs/>
          <w:sz w:val="26"/>
          <w:szCs w:val="26"/>
          <w:lang w:val="el-GR"/>
        </w:rPr>
        <w:t xml:space="preserve">και </w:t>
      </w:r>
      <w:r w:rsidRPr="00907AA4">
        <w:rPr>
          <w:rFonts w:ascii="Bookman Old Style" w:hAnsi="Bookman Old Style"/>
          <w:b/>
          <w:bCs/>
          <w:i/>
          <w:iCs/>
          <w:sz w:val="26"/>
          <w:szCs w:val="26"/>
          <w:lang w:val="el-GR"/>
        </w:rPr>
        <w:t xml:space="preserve">Παναγιώτης </w:t>
      </w:r>
      <w:proofErr w:type="spellStart"/>
      <w:r w:rsidRPr="00907AA4">
        <w:rPr>
          <w:rFonts w:ascii="Bookman Old Style" w:hAnsi="Bookman Old Style"/>
          <w:b/>
          <w:bCs/>
          <w:i/>
          <w:iCs/>
          <w:sz w:val="26"/>
          <w:szCs w:val="26"/>
          <w:lang w:val="el-GR"/>
        </w:rPr>
        <w:t>Μαστρης</w:t>
      </w:r>
      <w:proofErr w:type="spellEnd"/>
      <w:r w:rsidRPr="00907AA4">
        <w:rPr>
          <w:rFonts w:ascii="Bookman Old Style" w:hAnsi="Bookman Old Style"/>
          <w:b/>
          <w:bCs/>
          <w:i/>
          <w:iCs/>
          <w:sz w:val="26"/>
          <w:szCs w:val="26"/>
          <w:lang w:val="el-GR"/>
        </w:rPr>
        <w:t xml:space="preserve"> </w:t>
      </w:r>
      <w:proofErr w:type="spellStart"/>
      <w:r w:rsidRPr="00907AA4">
        <w:rPr>
          <w:rFonts w:ascii="Bookman Old Style" w:hAnsi="Bookman Old Style"/>
          <w:b/>
          <w:bCs/>
          <w:i/>
          <w:iCs/>
          <w:sz w:val="26"/>
          <w:szCs w:val="26"/>
          <w:lang w:val="el-GR"/>
        </w:rPr>
        <w:t>Λτδ</w:t>
      </w:r>
      <w:proofErr w:type="spellEnd"/>
      <w:r w:rsidRPr="00907AA4">
        <w:rPr>
          <w:rFonts w:ascii="Bookman Old Style" w:hAnsi="Bookman Old Style"/>
          <w:b/>
          <w:bCs/>
          <w:i/>
          <w:iCs/>
          <w:sz w:val="26"/>
          <w:szCs w:val="26"/>
          <w:lang w:val="el-GR"/>
        </w:rPr>
        <w:t xml:space="preserve"> </w:t>
      </w:r>
      <w:r w:rsidRPr="00907AA4">
        <w:rPr>
          <w:rFonts w:ascii="Bookman Old Style" w:hAnsi="Bookman Old Style"/>
          <w:b/>
          <w:bCs/>
          <w:i/>
          <w:iCs/>
          <w:sz w:val="26"/>
          <w:szCs w:val="26"/>
          <w:lang w:val="en-US"/>
        </w:rPr>
        <w:t>v</w:t>
      </w:r>
      <w:r w:rsidRPr="00907AA4">
        <w:rPr>
          <w:rFonts w:ascii="Bookman Old Style" w:hAnsi="Bookman Old Style"/>
          <w:b/>
          <w:bCs/>
          <w:i/>
          <w:iCs/>
          <w:sz w:val="26"/>
          <w:szCs w:val="26"/>
          <w:lang w:val="el-GR"/>
        </w:rPr>
        <w:t xml:space="preserve">. Επιπλώσεις Λάσκο </w:t>
      </w:r>
      <w:proofErr w:type="spellStart"/>
      <w:r w:rsidRPr="00907AA4">
        <w:rPr>
          <w:rFonts w:ascii="Bookman Old Style" w:hAnsi="Bookman Old Style"/>
          <w:b/>
          <w:bCs/>
          <w:i/>
          <w:iCs/>
          <w:sz w:val="26"/>
          <w:szCs w:val="26"/>
          <w:lang w:val="el-GR"/>
        </w:rPr>
        <w:t>Λτδ</w:t>
      </w:r>
      <w:proofErr w:type="spellEnd"/>
      <w:r w:rsidRPr="00907AA4">
        <w:rPr>
          <w:rFonts w:ascii="Bookman Old Style" w:hAnsi="Bookman Old Style"/>
          <w:b/>
          <w:bCs/>
          <w:i/>
          <w:iCs/>
          <w:sz w:val="26"/>
          <w:szCs w:val="26"/>
          <w:lang w:val="el-GR"/>
        </w:rPr>
        <w:t xml:space="preserve"> (2006) 1 Α.Α.Δ 728</w:t>
      </w:r>
      <w:r w:rsidRPr="00907AA4">
        <w:rPr>
          <w:rFonts w:ascii="Bookman Old Style" w:hAnsi="Bookman Old Style"/>
          <w:i/>
          <w:iCs/>
          <w:sz w:val="26"/>
          <w:szCs w:val="26"/>
          <w:lang w:val="el-GR"/>
        </w:rPr>
        <w:t xml:space="preserve">). Τα γεγονότα που φέρεται να αναπαραγάγει, σε περίπτωση αμφισβήτησης, καθίστανται επίδικα και θα πρέπει απαρέγκλιτα να αποδειχθούν (βλ. </w:t>
      </w:r>
      <w:r w:rsidRPr="00907AA4">
        <w:rPr>
          <w:rFonts w:ascii="Bookman Old Style" w:hAnsi="Bookman Old Style"/>
          <w:b/>
          <w:bCs/>
          <w:i/>
          <w:iCs/>
          <w:sz w:val="26"/>
          <w:szCs w:val="26"/>
          <w:lang w:val="en-US"/>
        </w:rPr>
        <w:t>A</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n-US"/>
        </w:rPr>
        <w:t>I</w:t>
      </w:r>
      <w:r w:rsidRPr="008A28CC">
        <w:rPr>
          <w:rFonts w:ascii="Bookman Old Style" w:hAnsi="Bookman Old Style"/>
          <w:b/>
          <w:bCs/>
          <w:i/>
          <w:iCs/>
          <w:sz w:val="26"/>
          <w:szCs w:val="26"/>
          <w:lang w:val="en-US"/>
        </w:rPr>
        <w:t xml:space="preserve">. </w:t>
      </w:r>
      <w:proofErr w:type="spellStart"/>
      <w:r w:rsidRPr="00661A31">
        <w:rPr>
          <w:rFonts w:ascii="Bookman Old Style" w:hAnsi="Bookman Old Style"/>
          <w:b/>
          <w:bCs/>
          <w:i/>
          <w:iCs/>
          <w:sz w:val="26"/>
          <w:szCs w:val="26"/>
          <w:lang w:val="en-US"/>
        </w:rPr>
        <w:t>Mantovani</w:t>
      </w:r>
      <w:proofErr w:type="spellEnd"/>
      <w:r w:rsidRPr="008A28CC">
        <w:rPr>
          <w:rFonts w:ascii="Bookman Old Style" w:hAnsi="Bookman Old Style"/>
          <w:b/>
          <w:bCs/>
          <w:i/>
          <w:iCs/>
          <w:sz w:val="26"/>
          <w:szCs w:val="26"/>
          <w:lang w:val="en-US"/>
        </w:rPr>
        <w:t xml:space="preserve"> &amp; </w:t>
      </w:r>
      <w:r w:rsidRPr="00907AA4">
        <w:rPr>
          <w:rFonts w:ascii="Bookman Old Style" w:hAnsi="Bookman Old Style"/>
          <w:b/>
          <w:bCs/>
          <w:i/>
          <w:iCs/>
          <w:sz w:val="26"/>
          <w:szCs w:val="26"/>
          <w:lang w:val="en-US"/>
        </w:rPr>
        <w:t>Sons</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Ltd</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v</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Christie</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Travel</w:t>
      </w:r>
      <w:r w:rsidRPr="008A28CC">
        <w:rPr>
          <w:rFonts w:ascii="Bookman Old Style" w:hAnsi="Bookman Old Style"/>
          <w:b/>
          <w:bCs/>
          <w:i/>
          <w:iCs/>
          <w:sz w:val="26"/>
          <w:szCs w:val="26"/>
          <w:lang w:val="en-US"/>
        </w:rPr>
        <w:t xml:space="preserve"> &amp; </w:t>
      </w:r>
      <w:r w:rsidRPr="00907AA4">
        <w:rPr>
          <w:rFonts w:ascii="Bookman Old Style" w:hAnsi="Bookman Old Style"/>
          <w:b/>
          <w:bCs/>
          <w:i/>
          <w:iCs/>
          <w:sz w:val="26"/>
          <w:szCs w:val="26"/>
          <w:lang w:val="en-US"/>
        </w:rPr>
        <w:t>Tourism</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Ltd</w:t>
      </w:r>
      <w:r w:rsidRPr="008A28CC">
        <w:rPr>
          <w:rFonts w:ascii="Bookman Old Style" w:hAnsi="Bookman Old Style"/>
          <w:b/>
          <w:bCs/>
          <w:i/>
          <w:iCs/>
          <w:sz w:val="26"/>
          <w:szCs w:val="26"/>
          <w:lang w:val="en-US"/>
        </w:rPr>
        <w:t xml:space="preserve"> (1999) 1 </w:t>
      </w:r>
      <w:r w:rsidRPr="00907AA4">
        <w:rPr>
          <w:rFonts w:ascii="Bookman Old Style" w:hAnsi="Bookman Old Style"/>
          <w:b/>
          <w:bCs/>
          <w:i/>
          <w:iCs/>
          <w:sz w:val="26"/>
          <w:szCs w:val="26"/>
          <w:lang w:val="el-GR"/>
        </w:rPr>
        <w:t>Α</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l-GR"/>
        </w:rPr>
        <w:t>Α</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l-GR"/>
        </w:rPr>
        <w:t>Δ</w:t>
      </w:r>
      <w:r w:rsidRPr="008A28CC">
        <w:rPr>
          <w:rFonts w:ascii="Bookman Old Style" w:hAnsi="Bookman Old Style"/>
          <w:b/>
          <w:bCs/>
          <w:i/>
          <w:iCs/>
          <w:sz w:val="26"/>
          <w:szCs w:val="26"/>
          <w:lang w:val="en-US"/>
        </w:rPr>
        <w:t xml:space="preserve">. 156, </w:t>
      </w:r>
      <w:proofErr w:type="spellStart"/>
      <w:r w:rsidRPr="00907AA4">
        <w:rPr>
          <w:rFonts w:ascii="Bookman Old Style" w:hAnsi="Bookman Old Style"/>
          <w:b/>
          <w:bCs/>
          <w:i/>
          <w:iCs/>
          <w:sz w:val="26"/>
          <w:szCs w:val="26"/>
          <w:lang w:val="en-US"/>
        </w:rPr>
        <w:t>Marketrends</w:t>
      </w:r>
      <w:proofErr w:type="spellEnd"/>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Insurance</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Ltd</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v</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l-GR"/>
        </w:rPr>
        <w:t>Μιχαήλ</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l-GR"/>
        </w:rPr>
        <w:t>κ</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l-GR"/>
        </w:rPr>
        <w:t>ά</w:t>
      </w:r>
      <w:r w:rsidRPr="008A28CC">
        <w:rPr>
          <w:rFonts w:ascii="Bookman Old Style" w:hAnsi="Bookman Old Style"/>
          <w:b/>
          <w:bCs/>
          <w:i/>
          <w:iCs/>
          <w:sz w:val="26"/>
          <w:szCs w:val="26"/>
          <w:lang w:val="en-US"/>
        </w:rPr>
        <w:t xml:space="preserve">. (2006) 1 </w:t>
      </w:r>
      <w:r w:rsidRPr="00907AA4">
        <w:rPr>
          <w:rFonts w:ascii="Bookman Old Style" w:hAnsi="Bookman Old Style"/>
          <w:b/>
          <w:bCs/>
          <w:i/>
          <w:iCs/>
          <w:sz w:val="26"/>
          <w:szCs w:val="26"/>
          <w:lang w:val="el-GR"/>
        </w:rPr>
        <w:t>Α</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l-GR"/>
        </w:rPr>
        <w:t>Α</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l-GR"/>
        </w:rPr>
        <w:t>Δ</w:t>
      </w:r>
      <w:r w:rsidRPr="008A28CC">
        <w:rPr>
          <w:rFonts w:ascii="Bookman Old Style" w:hAnsi="Bookman Old Style"/>
          <w:b/>
          <w:bCs/>
          <w:i/>
          <w:iCs/>
          <w:sz w:val="26"/>
          <w:szCs w:val="26"/>
          <w:lang w:val="en-US"/>
        </w:rPr>
        <w:t xml:space="preserve">. 734) </w:t>
      </w:r>
      <w:r w:rsidRPr="00907AA4">
        <w:rPr>
          <w:rFonts w:ascii="Bookman Old Style" w:hAnsi="Bookman Old Style"/>
          <w:i/>
          <w:iCs/>
          <w:sz w:val="26"/>
          <w:szCs w:val="26"/>
          <w:lang w:val="el-GR"/>
        </w:rPr>
        <w:t>και</w:t>
      </w:r>
      <w:r w:rsidRPr="008A28CC">
        <w:rPr>
          <w:rFonts w:ascii="Bookman Old Style" w:hAnsi="Bookman Old Style"/>
          <w:i/>
          <w:iCs/>
          <w:sz w:val="26"/>
          <w:szCs w:val="26"/>
          <w:lang w:val="en-US"/>
        </w:rPr>
        <w:t xml:space="preserve"> </w:t>
      </w:r>
      <w:proofErr w:type="spellStart"/>
      <w:r w:rsidRPr="00907AA4">
        <w:rPr>
          <w:rFonts w:ascii="Bookman Old Style" w:hAnsi="Bookman Old Style"/>
          <w:b/>
          <w:bCs/>
          <w:i/>
          <w:iCs/>
          <w:sz w:val="26"/>
          <w:szCs w:val="26"/>
          <w:lang w:val="en-US"/>
        </w:rPr>
        <w:t>Marketrends</w:t>
      </w:r>
      <w:proofErr w:type="spellEnd"/>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Finance</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Ltd</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n-US"/>
        </w:rPr>
        <w:t>v</w:t>
      </w:r>
      <w:r w:rsidRPr="008A28CC">
        <w:rPr>
          <w:rFonts w:ascii="Bookman Old Style" w:hAnsi="Bookman Old Style"/>
          <w:b/>
          <w:bCs/>
          <w:i/>
          <w:iCs/>
          <w:sz w:val="26"/>
          <w:szCs w:val="26"/>
          <w:lang w:val="en-US"/>
        </w:rPr>
        <w:t xml:space="preserve">. </w:t>
      </w:r>
      <w:r w:rsidRPr="00907AA4">
        <w:rPr>
          <w:rFonts w:ascii="Bookman Old Style" w:hAnsi="Bookman Old Style"/>
          <w:b/>
          <w:bCs/>
          <w:i/>
          <w:iCs/>
          <w:sz w:val="26"/>
          <w:szCs w:val="26"/>
          <w:lang w:val="el-GR"/>
        </w:rPr>
        <w:t>Ξενοφώντος</w:t>
      </w:r>
      <w:r w:rsidRPr="008A28CC">
        <w:rPr>
          <w:rFonts w:ascii="Bookman Old Style" w:hAnsi="Bookman Old Style"/>
          <w:b/>
          <w:bCs/>
          <w:i/>
          <w:iCs/>
          <w:sz w:val="26"/>
          <w:szCs w:val="26"/>
          <w:lang w:val="en-US"/>
        </w:rPr>
        <w:t xml:space="preserve"> (2009) 1 </w:t>
      </w:r>
      <w:r w:rsidRPr="00907AA4">
        <w:rPr>
          <w:rFonts w:ascii="Bookman Old Style" w:hAnsi="Bookman Old Style"/>
          <w:b/>
          <w:bCs/>
          <w:i/>
          <w:iCs/>
          <w:sz w:val="26"/>
          <w:szCs w:val="26"/>
          <w:lang w:val="el-GR"/>
        </w:rPr>
        <w:t>Α</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l-GR"/>
        </w:rPr>
        <w:t>Α</w:t>
      </w:r>
      <w:r w:rsidRPr="008A28CC">
        <w:rPr>
          <w:rFonts w:ascii="Bookman Old Style" w:hAnsi="Bookman Old Style"/>
          <w:b/>
          <w:bCs/>
          <w:i/>
          <w:iCs/>
          <w:sz w:val="26"/>
          <w:szCs w:val="26"/>
          <w:lang w:val="en-US"/>
        </w:rPr>
        <w:t>.</w:t>
      </w:r>
      <w:r w:rsidRPr="00907AA4">
        <w:rPr>
          <w:rFonts w:ascii="Bookman Old Style" w:hAnsi="Bookman Old Style"/>
          <w:b/>
          <w:bCs/>
          <w:i/>
          <w:iCs/>
          <w:sz w:val="26"/>
          <w:szCs w:val="26"/>
          <w:lang w:val="el-GR"/>
        </w:rPr>
        <w:t>Δ</w:t>
      </w:r>
      <w:r w:rsidRPr="008A28CC">
        <w:rPr>
          <w:rFonts w:ascii="Bookman Old Style" w:hAnsi="Bookman Old Style"/>
          <w:b/>
          <w:bCs/>
          <w:i/>
          <w:iCs/>
          <w:sz w:val="26"/>
          <w:szCs w:val="26"/>
          <w:lang w:val="en-US"/>
        </w:rPr>
        <w:t>.1418</w:t>
      </w:r>
      <w:r w:rsidRPr="008A28CC">
        <w:rPr>
          <w:rFonts w:ascii="Bookman Old Style" w:hAnsi="Bookman Old Style"/>
          <w:i/>
          <w:iCs/>
          <w:sz w:val="26"/>
          <w:szCs w:val="26"/>
          <w:lang w:val="en-US"/>
        </w:rPr>
        <w:t xml:space="preserve">). </w:t>
      </w:r>
      <w:r w:rsidRPr="00907AA4">
        <w:rPr>
          <w:rFonts w:ascii="Bookman Old Style" w:hAnsi="Bookman Old Style"/>
          <w:i/>
          <w:iCs/>
          <w:sz w:val="26"/>
          <w:szCs w:val="26"/>
          <w:lang w:val="el-GR"/>
        </w:rPr>
        <w:t>Με άλλα λόγια οι εκάστοτε καταχωρήσεις σε ένα λογαριασμό, είτε πρόκειται για χρεώσεις είτε για πιστώσεις (με εξαίρεση αποδεδειγμένο λογαριασμό-</w:t>
      </w:r>
      <w:r w:rsidRPr="00907AA4">
        <w:rPr>
          <w:rFonts w:ascii="Bookman Old Style" w:hAnsi="Bookman Old Style"/>
          <w:i/>
          <w:iCs/>
          <w:sz w:val="26"/>
          <w:szCs w:val="26"/>
          <w:lang w:val="en-US"/>
        </w:rPr>
        <w:t>account</w:t>
      </w:r>
      <w:r w:rsidRPr="00907AA4">
        <w:rPr>
          <w:rFonts w:ascii="Bookman Old Style" w:hAnsi="Bookman Old Style"/>
          <w:i/>
          <w:iCs/>
          <w:sz w:val="26"/>
          <w:szCs w:val="26"/>
          <w:lang w:val="el-GR"/>
        </w:rPr>
        <w:t xml:space="preserve"> </w:t>
      </w:r>
      <w:r w:rsidRPr="00907AA4">
        <w:rPr>
          <w:rFonts w:ascii="Bookman Old Style" w:hAnsi="Bookman Old Style"/>
          <w:i/>
          <w:iCs/>
          <w:sz w:val="26"/>
          <w:szCs w:val="26"/>
          <w:lang w:val="en-US"/>
        </w:rPr>
        <w:t>stated</w:t>
      </w:r>
      <w:r w:rsidRPr="00907AA4">
        <w:rPr>
          <w:rFonts w:ascii="Bookman Old Style" w:hAnsi="Bookman Old Style"/>
          <w:i/>
          <w:iCs/>
          <w:sz w:val="26"/>
          <w:szCs w:val="26"/>
          <w:lang w:val="el-GR"/>
        </w:rPr>
        <w:t>), θα πρέπει να αποδειχθούν μία προς μία, ούτως ώστε να επαληθευτεί στο τέλος πως η εικόνα που εκπέμπει η κατάσταση λογαριασμού είναι αυθεντική και ακριβής</w:t>
      </w:r>
      <w:r>
        <w:rPr>
          <w:rFonts w:ascii="Bookman Old Style" w:hAnsi="Bookman Old Style"/>
          <w:sz w:val="26"/>
          <w:szCs w:val="26"/>
          <w:lang w:val="el-GR"/>
        </w:rPr>
        <w:t>»</w:t>
      </w:r>
      <w:r w:rsidRPr="00907AA4">
        <w:rPr>
          <w:rFonts w:ascii="Bookman Old Style" w:hAnsi="Bookman Old Style"/>
          <w:sz w:val="26"/>
          <w:szCs w:val="26"/>
          <w:lang w:val="el-GR"/>
        </w:rPr>
        <w:t>.</w:t>
      </w:r>
    </w:p>
    <w:p w14:paraId="7D09A373" w14:textId="77777777" w:rsidR="008A4C98" w:rsidRDefault="008A4C98" w:rsidP="00907AA4">
      <w:pPr>
        <w:spacing w:line="276" w:lineRule="auto"/>
        <w:ind w:left="426" w:right="390"/>
        <w:jc w:val="both"/>
        <w:rPr>
          <w:rFonts w:ascii="Bookman Old Style" w:hAnsi="Bookman Old Style"/>
          <w:sz w:val="26"/>
          <w:szCs w:val="26"/>
          <w:lang w:val="el-GR"/>
        </w:rPr>
      </w:pPr>
    </w:p>
    <w:p w14:paraId="7D561657" w14:textId="77777777" w:rsidR="00661A31" w:rsidRPr="00907AA4" w:rsidRDefault="00661A31" w:rsidP="00907AA4">
      <w:pPr>
        <w:spacing w:line="276" w:lineRule="auto"/>
        <w:ind w:left="426" w:right="390"/>
        <w:jc w:val="both"/>
        <w:rPr>
          <w:rFonts w:ascii="Bookman Old Style" w:hAnsi="Bookman Old Style" w:cs="Arial"/>
          <w:i/>
          <w:iCs/>
          <w:sz w:val="26"/>
          <w:szCs w:val="26"/>
          <w:lang w:val="el-GR"/>
        </w:rPr>
      </w:pPr>
    </w:p>
    <w:p w14:paraId="48761ED4" w14:textId="4896BF7E" w:rsidR="008A4C98" w:rsidRDefault="008A4C98" w:rsidP="008A4C9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Όπως</w:t>
      </w:r>
      <w:r w:rsidRPr="00D6249E">
        <w:rPr>
          <w:rFonts w:ascii="Bookman Old Style" w:hAnsi="Bookman Old Style" w:cs="Arial"/>
          <w:sz w:val="28"/>
          <w:szCs w:val="28"/>
          <w:lang w:val="el-GR"/>
        </w:rPr>
        <w:t xml:space="preserve"> </w:t>
      </w:r>
      <w:r>
        <w:rPr>
          <w:rFonts w:ascii="Bookman Old Style" w:hAnsi="Bookman Old Style" w:cs="Arial"/>
          <w:sz w:val="28"/>
          <w:szCs w:val="28"/>
          <w:lang w:val="el-GR"/>
        </w:rPr>
        <w:t>τονίσθηκε</w:t>
      </w:r>
      <w:r w:rsidRPr="00D6249E">
        <w:rPr>
          <w:rFonts w:ascii="Bookman Old Style" w:hAnsi="Bookman Old Style" w:cs="Arial"/>
          <w:sz w:val="28"/>
          <w:szCs w:val="28"/>
          <w:lang w:val="el-GR"/>
        </w:rPr>
        <w:t xml:space="preserve"> </w:t>
      </w:r>
      <w:r>
        <w:rPr>
          <w:rFonts w:ascii="Bookman Old Style" w:hAnsi="Bookman Old Style" w:cs="Arial"/>
          <w:sz w:val="28"/>
          <w:szCs w:val="28"/>
          <w:lang w:val="el-GR"/>
        </w:rPr>
        <w:t>στην</w:t>
      </w:r>
      <w:r w:rsidRPr="00D6249E">
        <w:rPr>
          <w:rFonts w:ascii="Bookman Old Style" w:hAnsi="Bookman Old Style" w:cs="Arial"/>
          <w:sz w:val="28"/>
          <w:szCs w:val="28"/>
          <w:lang w:val="el-GR"/>
        </w:rPr>
        <w:t xml:space="preserve"> </w:t>
      </w:r>
      <w:r>
        <w:rPr>
          <w:rFonts w:ascii="Bookman Old Style" w:hAnsi="Bookman Old Style" w:cs="Arial"/>
          <w:sz w:val="28"/>
          <w:szCs w:val="28"/>
          <w:lang w:val="el-GR"/>
        </w:rPr>
        <w:t>υπόθεση</w:t>
      </w:r>
      <w:r w:rsidRPr="00D6249E">
        <w:rPr>
          <w:rFonts w:ascii="Bookman Old Style" w:hAnsi="Bookman Old Style" w:cs="Arial"/>
          <w:sz w:val="28"/>
          <w:szCs w:val="28"/>
          <w:lang w:val="el-GR"/>
        </w:rPr>
        <w:t xml:space="preserve"> </w:t>
      </w:r>
      <w:r w:rsidRPr="00D6249E">
        <w:rPr>
          <w:rFonts w:ascii="Bookman Old Style" w:hAnsi="Bookman Old Style" w:cs="Arial"/>
          <w:b/>
          <w:bCs/>
          <w:i/>
          <w:iCs/>
          <w:sz w:val="28"/>
          <w:szCs w:val="28"/>
          <w:lang w:val="en-US"/>
        </w:rPr>
        <w:t>A</w:t>
      </w:r>
      <w:r w:rsidRPr="00D6249E">
        <w:rPr>
          <w:rFonts w:ascii="Bookman Old Style" w:hAnsi="Bookman Old Style" w:cs="Arial"/>
          <w:b/>
          <w:bCs/>
          <w:i/>
          <w:iCs/>
          <w:sz w:val="28"/>
          <w:szCs w:val="28"/>
          <w:lang w:val="el-GR"/>
        </w:rPr>
        <w:t xml:space="preserve">. </w:t>
      </w:r>
      <w:r w:rsidRPr="00D6249E">
        <w:rPr>
          <w:rFonts w:ascii="Bookman Old Style" w:hAnsi="Bookman Old Style" w:cs="Arial"/>
          <w:b/>
          <w:bCs/>
          <w:i/>
          <w:iCs/>
          <w:sz w:val="28"/>
          <w:szCs w:val="28"/>
          <w:lang w:val="en-US"/>
        </w:rPr>
        <w:t>L</w:t>
      </w:r>
      <w:r w:rsidRPr="00D6249E">
        <w:rPr>
          <w:rFonts w:ascii="Bookman Old Style" w:hAnsi="Bookman Old Style" w:cs="Arial"/>
          <w:b/>
          <w:bCs/>
          <w:i/>
          <w:iCs/>
          <w:sz w:val="28"/>
          <w:szCs w:val="28"/>
          <w:lang w:val="el-GR"/>
        </w:rPr>
        <w:t xml:space="preserve">. </w:t>
      </w:r>
      <w:proofErr w:type="spellStart"/>
      <w:r w:rsidRPr="00D6249E">
        <w:rPr>
          <w:rFonts w:ascii="Bookman Old Style" w:hAnsi="Bookman Old Style" w:cs="Arial"/>
          <w:b/>
          <w:bCs/>
          <w:i/>
          <w:iCs/>
          <w:sz w:val="28"/>
          <w:szCs w:val="28"/>
          <w:lang w:val="en-US"/>
        </w:rPr>
        <w:t>Mantovani</w:t>
      </w:r>
      <w:proofErr w:type="spellEnd"/>
      <w:r w:rsidRPr="00D6249E">
        <w:rPr>
          <w:rFonts w:ascii="Bookman Old Style" w:hAnsi="Bookman Old Style" w:cs="Arial"/>
          <w:b/>
          <w:bCs/>
          <w:i/>
          <w:iCs/>
          <w:sz w:val="28"/>
          <w:szCs w:val="28"/>
          <w:lang w:val="el-GR"/>
        </w:rPr>
        <w:t xml:space="preserve"> &amp; </w:t>
      </w:r>
      <w:r w:rsidRPr="00D6249E">
        <w:rPr>
          <w:rFonts w:ascii="Bookman Old Style" w:hAnsi="Bookman Old Style" w:cs="Arial"/>
          <w:b/>
          <w:bCs/>
          <w:i/>
          <w:iCs/>
          <w:sz w:val="28"/>
          <w:szCs w:val="28"/>
          <w:lang w:val="en-US"/>
        </w:rPr>
        <w:t>Sons</w:t>
      </w:r>
      <w:r w:rsidRPr="00D6249E">
        <w:rPr>
          <w:rFonts w:ascii="Bookman Old Style" w:hAnsi="Bookman Old Style" w:cs="Arial"/>
          <w:b/>
          <w:bCs/>
          <w:i/>
          <w:iCs/>
          <w:sz w:val="28"/>
          <w:szCs w:val="28"/>
          <w:lang w:val="el-GR"/>
        </w:rPr>
        <w:t xml:space="preserve"> </w:t>
      </w:r>
      <w:r w:rsidRPr="00D6249E">
        <w:rPr>
          <w:rFonts w:ascii="Bookman Old Style" w:hAnsi="Bookman Old Style" w:cs="Arial"/>
          <w:b/>
          <w:bCs/>
          <w:i/>
          <w:iCs/>
          <w:sz w:val="28"/>
          <w:szCs w:val="28"/>
          <w:lang w:val="en-US"/>
        </w:rPr>
        <w:t>Ltd</w:t>
      </w:r>
      <w:r w:rsidRPr="00D6249E">
        <w:rPr>
          <w:rFonts w:ascii="Bookman Old Style" w:hAnsi="Bookman Old Style" w:cs="Arial"/>
          <w:b/>
          <w:bCs/>
          <w:i/>
          <w:iCs/>
          <w:sz w:val="28"/>
          <w:szCs w:val="28"/>
          <w:lang w:val="el-GR"/>
        </w:rPr>
        <w:t xml:space="preserve"> </w:t>
      </w:r>
      <w:r w:rsidRPr="00D6249E">
        <w:rPr>
          <w:rFonts w:ascii="Bookman Old Style" w:hAnsi="Bookman Old Style" w:cs="Arial"/>
          <w:b/>
          <w:bCs/>
          <w:i/>
          <w:iCs/>
          <w:sz w:val="28"/>
          <w:szCs w:val="28"/>
          <w:lang w:val="en-US"/>
        </w:rPr>
        <w:t>v</w:t>
      </w:r>
      <w:r w:rsidRPr="00D6249E">
        <w:rPr>
          <w:rFonts w:ascii="Bookman Old Style" w:hAnsi="Bookman Old Style" w:cs="Arial"/>
          <w:b/>
          <w:bCs/>
          <w:i/>
          <w:iCs/>
          <w:sz w:val="28"/>
          <w:szCs w:val="28"/>
          <w:lang w:val="el-GR"/>
        </w:rPr>
        <w:t xml:space="preserve">. </w:t>
      </w:r>
      <w:proofErr w:type="spellStart"/>
      <w:r w:rsidRPr="00D6249E">
        <w:rPr>
          <w:rFonts w:ascii="Bookman Old Style" w:hAnsi="Bookman Old Style" w:cs="Arial"/>
          <w:b/>
          <w:bCs/>
          <w:i/>
          <w:iCs/>
          <w:sz w:val="28"/>
          <w:szCs w:val="28"/>
          <w:lang w:val="en-US"/>
        </w:rPr>
        <w:t>Christis</w:t>
      </w:r>
      <w:proofErr w:type="spellEnd"/>
      <w:r w:rsidRPr="00D6249E">
        <w:rPr>
          <w:rFonts w:ascii="Bookman Old Style" w:hAnsi="Bookman Old Style" w:cs="Arial"/>
          <w:b/>
          <w:bCs/>
          <w:i/>
          <w:iCs/>
          <w:sz w:val="28"/>
          <w:szCs w:val="28"/>
          <w:lang w:val="el-GR"/>
        </w:rPr>
        <w:t xml:space="preserve"> </w:t>
      </w:r>
      <w:r w:rsidRPr="00D6249E">
        <w:rPr>
          <w:rFonts w:ascii="Bookman Old Style" w:hAnsi="Bookman Old Style" w:cs="Arial"/>
          <w:b/>
          <w:bCs/>
          <w:i/>
          <w:iCs/>
          <w:sz w:val="28"/>
          <w:szCs w:val="28"/>
          <w:lang w:val="en-US"/>
        </w:rPr>
        <w:t>Travel</w:t>
      </w:r>
      <w:r w:rsidRPr="00D6249E">
        <w:rPr>
          <w:rFonts w:ascii="Bookman Old Style" w:hAnsi="Bookman Old Style" w:cs="Arial"/>
          <w:b/>
          <w:bCs/>
          <w:i/>
          <w:iCs/>
          <w:sz w:val="28"/>
          <w:szCs w:val="28"/>
          <w:lang w:val="el-GR"/>
        </w:rPr>
        <w:t xml:space="preserve"> &amp; </w:t>
      </w:r>
      <w:r w:rsidRPr="00D6249E">
        <w:rPr>
          <w:rFonts w:ascii="Bookman Old Style" w:hAnsi="Bookman Old Style" w:cs="Arial"/>
          <w:b/>
          <w:bCs/>
          <w:i/>
          <w:iCs/>
          <w:sz w:val="28"/>
          <w:szCs w:val="28"/>
          <w:lang w:val="en-US"/>
        </w:rPr>
        <w:t>Tourism</w:t>
      </w:r>
      <w:r w:rsidRPr="00D6249E">
        <w:rPr>
          <w:rFonts w:ascii="Bookman Old Style" w:hAnsi="Bookman Old Style" w:cs="Arial"/>
          <w:b/>
          <w:bCs/>
          <w:i/>
          <w:iCs/>
          <w:sz w:val="28"/>
          <w:szCs w:val="28"/>
          <w:lang w:val="el-GR"/>
        </w:rPr>
        <w:t xml:space="preserve"> </w:t>
      </w:r>
      <w:r w:rsidRPr="00D6249E">
        <w:rPr>
          <w:rFonts w:ascii="Bookman Old Style" w:hAnsi="Bookman Old Style" w:cs="Arial"/>
          <w:b/>
          <w:bCs/>
          <w:i/>
          <w:iCs/>
          <w:sz w:val="28"/>
          <w:szCs w:val="28"/>
          <w:lang w:val="en-US"/>
        </w:rPr>
        <w:t>Ltd</w:t>
      </w:r>
      <w:r w:rsidRPr="00D6249E">
        <w:rPr>
          <w:rFonts w:ascii="Bookman Old Style" w:hAnsi="Bookman Old Style" w:cs="Arial"/>
          <w:b/>
          <w:bCs/>
          <w:i/>
          <w:iCs/>
          <w:sz w:val="28"/>
          <w:szCs w:val="28"/>
          <w:lang w:val="el-GR"/>
        </w:rPr>
        <w:t xml:space="preserve"> (1999) 1 Α.Α.Δ. 156</w:t>
      </w:r>
      <w:r>
        <w:rPr>
          <w:rFonts w:ascii="Bookman Old Style" w:hAnsi="Bookman Old Style" w:cs="Arial"/>
          <w:sz w:val="28"/>
          <w:szCs w:val="28"/>
          <w:lang w:val="el-GR"/>
        </w:rPr>
        <w:t>:</w:t>
      </w:r>
    </w:p>
    <w:p w14:paraId="76899809" w14:textId="77777777" w:rsidR="008A4C98" w:rsidRDefault="008A4C98" w:rsidP="008A4C98">
      <w:pPr>
        <w:spacing w:line="480" w:lineRule="auto"/>
        <w:ind w:right="-35"/>
        <w:jc w:val="both"/>
        <w:rPr>
          <w:rFonts w:ascii="Bookman Old Style" w:hAnsi="Bookman Old Style" w:cs="Arial"/>
          <w:sz w:val="28"/>
          <w:szCs w:val="28"/>
          <w:lang w:val="el-GR"/>
        </w:rPr>
      </w:pPr>
    </w:p>
    <w:p w14:paraId="179A7620" w14:textId="77777777" w:rsidR="008A4C98" w:rsidRDefault="008A4C98" w:rsidP="008A4C98">
      <w:pPr>
        <w:spacing w:line="276" w:lineRule="auto"/>
        <w:ind w:left="426" w:right="390"/>
        <w:jc w:val="both"/>
        <w:rPr>
          <w:rFonts w:ascii="Bookman Old Style" w:hAnsi="Bookman Old Style"/>
          <w:i/>
          <w:iCs/>
          <w:sz w:val="26"/>
          <w:szCs w:val="26"/>
          <w:lang w:val="el-GR"/>
        </w:rPr>
      </w:pPr>
      <w:r w:rsidRPr="00D6249E">
        <w:rPr>
          <w:sz w:val="26"/>
          <w:szCs w:val="26"/>
          <w:lang w:val="el-GR"/>
        </w:rPr>
        <w:t>«</w:t>
      </w:r>
      <w:r w:rsidRPr="00D6249E">
        <w:rPr>
          <w:rFonts w:ascii="Bookman Old Style" w:hAnsi="Bookman Old Style"/>
          <w:i/>
          <w:iCs/>
          <w:sz w:val="26"/>
          <w:szCs w:val="26"/>
          <w:lang w:val="el-GR"/>
        </w:rPr>
        <w:t xml:space="preserve">Οι λογαριασμοί </w:t>
      </w:r>
      <w:proofErr w:type="spellStart"/>
      <w:r w:rsidRPr="00D6249E">
        <w:rPr>
          <w:rFonts w:ascii="Bookman Old Style" w:hAnsi="Bookman Old Style"/>
          <w:i/>
          <w:iCs/>
          <w:sz w:val="26"/>
          <w:szCs w:val="26"/>
          <w:lang w:val="el-GR"/>
        </w:rPr>
        <w:t>εμπορευομένου</w:t>
      </w:r>
      <w:proofErr w:type="spellEnd"/>
      <w:r w:rsidRPr="00D6249E">
        <w:rPr>
          <w:rFonts w:ascii="Bookman Old Style" w:hAnsi="Bookman Old Style"/>
          <w:i/>
          <w:iCs/>
          <w:sz w:val="26"/>
          <w:szCs w:val="26"/>
          <w:lang w:val="el-GR"/>
        </w:rPr>
        <w:t xml:space="preserve"> δεν αποτελούν </w:t>
      </w:r>
      <w:proofErr w:type="spellStart"/>
      <w:r w:rsidRPr="00D6249E">
        <w:rPr>
          <w:rFonts w:ascii="Bookman Old Style" w:hAnsi="Bookman Old Style"/>
          <w:i/>
          <w:iCs/>
          <w:sz w:val="26"/>
          <w:szCs w:val="26"/>
          <w:lang w:val="el-GR"/>
        </w:rPr>
        <w:t>αφεαυτών</w:t>
      </w:r>
      <w:proofErr w:type="spellEnd"/>
      <w:r w:rsidRPr="00D6249E">
        <w:rPr>
          <w:rFonts w:ascii="Bookman Old Style" w:hAnsi="Bookman Old Style"/>
          <w:i/>
          <w:iCs/>
          <w:sz w:val="26"/>
          <w:szCs w:val="26"/>
          <w:lang w:val="el-GR"/>
        </w:rPr>
        <w:t xml:space="preserve"> απόδειξη των γεγονότων που καταγράφουν. Τα γεγονότα που απεικονίζουν πρέπει να αποδειχθούν. ...................................Στην απουσία παραδεκτής μαρτυρίας που να στοιχειοθετεί γεγονότα που θα μπορούσαν να προσμετρήσουν ως αποδεικτικά της υπόθεσης, δεν εγείρεται ζήτημα βάρους απόδειξης. Τέτοιο θέμα μπορεί να εγερθεί μόνο όπου αποδεικνύονται γεγονότα που τείνουν να υποστηρίξουν την απαίτηση.»</w:t>
      </w:r>
    </w:p>
    <w:p w14:paraId="1BB26FFC" w14:textId="77777777" w:rsidR="008A4C98" w:rsidRDefault="008A4C98" w:rsidP="008A4C98">
      <w:pPr>
        <w:spacing w:line="276" w:lineRule="auto"/>
        <w:ind w:left="426" w:right="390"/>
        <w:jc w:val="both"/>
        <w:rPr>
          <w:rFonts w:ascii="Bookman Old Style" w:hAnsi="Bookman Old Style"/>
          <w:i/>
          <w:iCs/>
          <w:sz w:val="26"/>
          <w:szCs w:val="26"/>
          <w:lang w:val="el-GR"/>
        </w:rPr>
      </w:pPr>
    </w:p>
    <w:p w14:paraId="5199527B" w14:textId="77777777" w:rsidR="00A450CA" w:rsidRPr="00907AA4" w:rsidRDefault="00A450CA" w:rsidP="00907AA4">
      <w:pPr>
        <w:spacing w:line="276" w:lineRule="auto"/>
        <w:ind w:right="-35"/>
        <w:jc w:val="both"/>
        <w:rPr>
          <w:rFonts w:ascii="Bookman Old Style" w:hAnsi="Bookman Old Style" w:cs="Arial"/>
          <w:sz w:val="26"/>
          <w:szCs w:val="26"/>
          <w:lang w:val="el-GR"/>
        </w:rPr>
      </w:pPr>
    </w:p>
    <w:p w14:paraId="4AF63FAB" w14:textId="77777777" w:rsidR="003809F8" w:rsidRPr="00907AA4" w:rsidRDefault="003809F8" w:rsidP="00907AA4">
      <w:pPr>
        <w:spacing w:line="276" w:lineRule="auto"/>
        <w:ind w:right="-35"/>
        <w:jc w:val="both"/>
        <w:rPr>
          <w:rFonts w:ascii="Bookman Old Style" w:hAnsi="Bookman Old Style" w:cs="Arial"/>
          <w:sz w:val="26"/>
          <w:szCs w:val="26"/>
          <w:lang w:val="el-GR"/>
        </w:rPr>
      </w:pPr>
    </w:p>
    <w:p w14:paraId="653F13F5" w14:textId="74B56B40" w:rsidR="00457CBF" w:rsidRDefault="00442187" w:rsidP="00654F9F">
      <w:pPr>
        <w:spacing w:line="480" w:lineRule="auto"/>
        <w:ind w:right="-35"/>
        <w:jc w:val="both"/>
        <w:rPr>
          <w:rFonts w:ascii="Bookman Old Style" w:hAnsi="Bookman Old Style" w:cs="Arial"/>
          <w:sz w:val="28"/>
          <w:szCs w:val="28"/>
          <w:lang w:val="el-GR"/>
        </w:rPr>
      </w:pPr>
      <w:r w:rsidRPr="00442187">
        <w:rPr>
          <w:rFonts w:ascii="Bookman Old Style" w:hAnsi="Bookman Old Style" w:cs="Arial"/>
          <w:sz w:val="28"/>
          <w:szCs w:val="28"/>
          <w:lang w:val="el-GR"/>
        </w:rPr>
        <w:t>Το πρωτόδικο Δικαστήριο εξέτασε επιμελώς την προσαχθείσα μαρτυρία και για καλούς και πειστικούς λόγους</w:t>
      </w:r>
      <w:r w:rsidR="00AA17AC">
        <w:rPr>
          <w:rFonts w:ascii="Bookman Old Style" w:hAnsi="Bookman Old Style" w:cs="Arial"/>
          <w:sz w:val="28"/>
          <w:szCs w:val="28"/>
          <w:lang w:val="el-GR"/>
        </w:rPr>
        <w:t>,</w:t>
      </w:r>
      <w:r w:rsidRPr="00442187">
        <w:rPr>
          <w:rFonts w:ascii="Bookman Old Style" w:hAnsi="Bookman Old Style" w:cs="Arial"/>
          <w:sz w:val="28"/>
          <w:szCs w:val="28"/>
          <w:lang w:val="el-GR"/>
        </w:rPr>
        <w:t xml:space="preserve"> που</w:t>
      </w:r>
      <w:r w:rsidR="008A4C98">
        <w:rPr>
          <w:rFonts w:ascii="Bookman Old Style" w:hAnsi="Bookman Old Style" w:cs="Arial"/>
          <w:sz w:val="28"/>
          <w:szCs w:val="28"/>
          <w:lang w:val="el-GR"/>
        </w:rPr>
        <w:t xml:space="preserve"> σε έκταση</w:t>
      </w:r>
      <w:r w:rsidRPr="00442187">
        <w:rPr>
          <w:rFonts w:ascii="Bookman Old Style" w:hAnsi="Bookman Old Style" w:cs="Arial"/>
          <w:sz w:val="28"/>
          <w:szCs w:val="28"/>
          <w:lang w:val="el-GR"/>
        </w:rPr>
        <w:t xml:space="preserve"> καταγράφει στην Απόφαση του</w:t>
      </w:r>
      <w:r w:rsidR="00AA17AC">
        <w:rPr>
          <w:rFonts w:ascii="Bookman Old Style" w:hAnsi="Bookman Old Style" w:cs="Arial"/>
          <w:sz w:val="28"/>
          <w:szCs w:val="28"/>
          <w:lang w:val="el-GR"/>
        </w:rPr>
        <w:t>,</w:t>
      </w:r>
      <w:r w:rsidRPr="00442187">
        <w:rPr>
          <w:rFonts w:ascii="Bookman Old Style" w:hAnsi="Bookman Old Style" w:cs="Arial"/>
          <w:sz w:val="28"/>
          <w:szCs w:val="28"/>
          <w:lang w:val="el-GR"/>
        </w:rPr>
        <w:t xml:space="preserve"> δεν αποδέχτηκε τη μαρτυρία που προσκόμισε η πλευρά της </w:t>
      </w:r>
      <w:proofErr w:type="spellStart"/>
      <w:r w:rsidRPr="00442187">
        <w:rPr>
          <w:rFonts w:ascii="Bookman Old Style" w:hAnsi="Bookman Old Style" w:cs="Arial"/>
          <w:sz w:val="28"/>
          <w:szCs w:val="28"/>
          <w:lang w:val="el-GR"/>
        </w:rPr>
        <w:t>Εφεσείουσας</w:t>
      </w:r>
      <w:proofErr w:type="spellEnd"/>
      <w:r w:rsidRPr="00442187">
        <w:rPr>
          <w:rFonts w:ascii="Bookman Old Style" w:hAnsi="Bookman Old Style" w:cs="Arial"/>
          <w:sz w:val="28"/>
          <w:szCs w:val="28"/>
          <w:lang w:val="el-GR"/>
        </w:rPr>
        <w:t>.</w:t>
      </w:r>
    </w:p>
    <w:p w14:paraId="796804AA" w14:textId="66FBF495" w:rsidR="00CF74DC" w:rsidRDefault="00442187" w:rsidP="00654F9F">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 </w:t>
      </w:r>
      <w:proofErr w:type="spellStart"/>
      <w:r>
        <w:rPr>
          <w:rFonts w:ascii="Bookman Old Style" w:hAnsi="Bookman Old Style" w:cs="Arial"/>
          <w:sz w:val="28"/>
          <w:szCs w:val="28"/>
          <w:lang w:val="el-GR"/>
        </w:rPr>
        <w:t>πρώτοις</w:t>
      </w:r>
      <w:proofErr w:type="spellEnd"/>
      <w:r w:rsidR="004A24F9">
        <w:rPr>
          <w:rFonts w:ascii="Bookman Old Style" w:hAnsi="Bookman Old Style" w:cs="Arial"/>
          <w:sz w:val="28"/>
          <w:szCs w:val="28"/>
          <w:lang w:val="el-GR"/>
        </w:rPr>
        <w:t>,</w:t>
      </w:r>
      <w:r>
        <w:rPr>
          <w:rFonts w:ascii="Bookman Old Style" w:hAnsi="Bookman Old Style" w:cs="Arial"/>
          <w:sz w:val="28"/>
          <w:szCs w:val="28"/>
          <w:lang w:val="el-GR"/>
        </w:rPr>
        <w:t xml:space="preserve"> </w:t>
      </w:r>
      <w:r w:rsidR="004A24F9">
        <w:rPr>
          <w:rFonts w:ascii="Bookman Old Style" w:hAnsi="Bookman Old Style" w:cs="Arial"/>
          <w:sz w:val="28"/>
          <w:szCs w:val="28"/>
          <w:lang w:val="el-GR"/>
        </w:rPr>
        <w:t>σημαντική ήταν η επισήμανση του πρωτόδικου Δικαστηρίου, η οποία προέκυψε από την προσαχθείσα μαρτυρία την οποία έχουμε διεξέλθει στο σύνολο της,</w:t>
      </w:r>
      <w:r>
        <w:rPr>
          <w:rFonts w:ascii="Bookman Old Style" w:hAnsi="Bookman Old Style" w:cs="Arial"/>
          <w:sz w:val="28"/>
          <w:szCs w:val="28"/>
          <w:lang w:val="el-GR"/>
        </w:rPr>
        <w:t xml:space="preserve"> ότι ο Μ.Ε.1</w:t>
      </w:r>
      <w:r w:rsidR="00654F9F">
        <w:rPr>
          <w:rFonts w:ascii="Bookman Old Style" w:hAnsi="Bookman Old Style" w:cs="Arial"/>
          <w:sz w:val="28"/>
          <w:szCs w:val="28"/>
          <w:lang w:val="el-GR"/>
        </w:rPr>
        <w:t xml:space="preserve"> και η Μ.Ε.2</w:t>
      </w:r>
      <w:r>
        <w:rPr>
          <w:rFonts w:ascii="Bookman Old Style" w:hAnsi="Bookman Old Style" w:cs="Arial"/>
          <w:sz w:val="28"/>
          <w:szCs w:val="28"/>
          <w:lang w:val="el-GR"/>
        </w:rPr>
        <w:t xml:space="preserve"> ουδεμία προσωπική ανάμειξη, εμπλοκή ή γνώση είχ</w:t>
      </w:r>
      <w:r w:rsidR="00654F9F">
        <w:rPr>
          <w:rFonts w:ascii="Bookman Old Style" w:hAnsi="Bookman Old Style" w:cs="Arial"/>
          <w:sz w:val="28"/>
          <w:szCs w:val="28"/>
          <w:lang w:val="el-GR"/>
        </w:rPr>
        <w:t>αν</w:t>
      </w:r>
      <w:r>
        <w:rPr>
          <w:rFonts w:ascii="Bookman Old Style" w:hAnsi="Bookman Old Style" w:cs="Arial"/>
          <w:sz w:val="28"/>
          <w:szCs w:val="28"/>
          <w:lang w:val="el-GR"/>
        </w:rPr>
        <w:t xml:space="preserve"> είτε κατά την ετοιμασία των δύο Καταστάσεων Λογαριασμού που είχαν κατατεθεί για σκοπούς θεμελίωσης της αξίωσης της </w:t>
      </w:r>
      <w:proofErr w:type="spellStart"/>
      <w:r>
        <w:rPr>
          <w:rFonts w:ascii="Bookman Old Style" w:hAnsi="Bookman Old Style" w:cs="Arial"/>
          <w:sz w:val="28"/>
          <w:szCs w:val="28"/>
          <w:lang w:val="el-GR"/>
        </w:rPr>
        <w:t>Εφεσείουσας</w:t>
      </w:r>
      <w:proofErr w:type="spellEnd"/>
      <w:r w:rsidR="00654F9F">
        <w:rPr>
          <w:rFonts w:ascii="Bookman Old Style" w:hAnsi="Bookman Old Style" w:cs="Arial"/>
          <w:sz w:val="28"/>
          <w:szCs w:val="28"/>
          <w:lang w:val="el-GR"/>
        </w:rPr>
        <w:t xml:space="preserve"> (</w:t>
      </w:r>
      <w:r w:rsidR="00654F9F" w:rsidRPr="00654F9F">
        <w:rPr>
          <w:rFonts w:ascii="Bookman Old Style" w:hAnsi="Bookman Old Style" w:cs="Arial"/>
          <w:b/>
          <w:bCs/>
          <w:sz w:val="28"/>
          <w:szCs w:val="28"/>
          <w:lang w:val="el-GR"/>
        </w:rPr>
        <w:t>Τεκμήρια 4</w:t>
      </w:r>
      <w:r w:rsidR="00654F9F">
        <w:rPr>
          <w:rFonts w:ascii="Bookman Old Style" w:hAnsi="Bookman Old Style" w:cs="Arial"/>
          <w:sz w:val="28"/>
          <w:szCs w:val="28"/>
          <w:lang w:val="el-GR"/>
        </w:rPr>
        <w:t xml:space="preserve"> και </w:t>
      </w:r>
      <w:r w:rsidR="00654F9F" w:rsidRPr="00654F9F">
        <w:rPr>
          <w:rFonts w:ascii="Bookman Old Style" w:hAnsi="Bookman Old Style" w:cs="Arial"/>
          <w:b/>
          <w:bCs/>
          <w:sz w:val="28"/>
          <w:szCs w:val="28"/>
          <w:lang w:val="el-GR"/>
        </w:rPr>
        <w:t>77</w:t>
      </w:r>
      <w:r w:rsidR="00654F9F">
        <w:rPr>
          <w:rFonts w:ascii="Bookman Old Style" w:hAnsi="Bookman Old Style" w:cs="Arial"/>
          <w:sz w:val="28"/>
          <w:szCs w:val="28"/>
          <w:lang w:val="el-GR"/>
        </w:rPr>
        <w:t>)</w:t>
      </w:r>
      <w:r>
        <w:rPr>
          <w:rFonts w:ascii="Bookman Old Style" w:hAnsi="Bookman Old Style" w:cs="Arial"/>
          <w:sz w:val="28"/>
          <w:szCs w:val="28"/>
          <w:lang w:val="el-GR"/>
        </w:rPr>
        <w:t>, είτε για οποιοδήποτε στοιχείο ήταν καταχωρημένο σε αυτές</w:t>
      </w:r>
      <w:r w:rsidR="004A24F9">
        <w:rPr>
          <w:rFonts w:ascii="Bookman Old Style" w:hAnsi="Bookman Old Style" w:cs="Arial"/>
          <w:sz w:val="28"/>
          <w:szCs w:val="28"/>
          <w:lang w:val="el-GR"/>
        </w:rPr>
        <w:t>. Επιπλέον</w:t>
      </w:r>
      <w:r>
        <w:rPr>
          <w:rFonts w:ascii="Bookman Old Style" w:hAnsi="Bookman Old Style" w:cs="Arial"/>
          <w:sz w:val="28"/>
          <w:szCs w:val="28"/>
          <w:lang w:val="el-GR"/>
        </w:rPr>
        <w:t>,</w:t>
      </w:r>
      <w:r w:rsidR="004A24F9">
        <w:rPr>
          <w:rFonts w:ascii="Bookman Old Style" w:hAnsi="Bookman Old Style" w:cs="Arial"/>
          <w:sz w:val="28"/>
          <w:szCs w:val="28"/>
          <w:lang w:val="el-GR"/>
        </w:rPr>
        <w:t xml:space="preserve"> σημαντικό ήτο και το γεγονός</w:t>
      </w:r>
      <w:r w:rsidR="00CF74DC">
        <w:rPr>
          <w:rFonts w:ascii="Bookman Old Style" w:hAnsi="Bookman Old Style" w:cs="Arial"/>
          <w:sz w:val="28"/>
          <w:szCs w:val="28"/>
          <w:lang w:val="el-GR"/>
        </w:rPr>
        <w:t>, το οποίο</w:t>
      </w:r>
      <w:r w:rsidR="00CF74DC" w:rsidRPr="00CF74DC">
        <w:rPr>
          <w:rFonts w:ascii="Bookman Old Style" w:hAnsi="Bookman Old Style" w:cs="Arial"/>
          <w:sz w:val="28"/>
          <w:szCs w:val="28"/>
          <w:lang w:val="el-GR"/>
        </w:rPr>
        <w:t xml:space="preserve"> </w:t>
      </w:r>
      <w:r w:rsidR="00CF74DC">
        <w:rPr>
          <w:rFonts w:ascii="Bookman Old Style" w:hAnsi="Bookman Old Style" w:cs="Arial"/>
          <w:sz w:val="28"/>
          <w:szCs w:val="28"/>
          <w:lang w:val="el-GR"/>
        </w:rPr>
        <w:t>το πρωτόδικο Δικαστήριο δεν παρέλειψε να επισημάνει,</w:t>
      </w:r>
      <w:r w:rsidR="004A24F9">
        <w:rPr>
          <w:rFonts w:ascii="Bookman Old Style" w:hAnsi="Bookman Old Style" w:cs="Arial"/>
          <w:sz w:val="28"/>
          <w:szCs w:val="28"/>
          <w:lang w:val="el-GR"/>
        </w:rPr>
        <w:t xml:space="preserve"> ότι παρά το ότι η Εφεσίβλητη δεν είχε σε κανένα στάδιο αναγνωρίσει ότι οφείλει το </w:t>
      </w:r>
      <w:proofErr w:type="spellStart"/>
      <w:r w:rsidR="004A24F9">
        <w:rPr>
          <w:rFonts w:ascii="Bookman Old Style" w:hAnsi="Bookman Old Style" w:cs="Arial"/>
          <w:sz w:val="28"/>
          <w:szCs w:val="28"/>
          <w:lang w:val="el-GR"/>
        </w:rPr>
        <w:t>αξιούμενο</w:t>
      </w:r>
      <w:proofErr w:type="spellEnd"/>
      <w:r w:rsidR="004A24F9">
        <w:rPr>
          <w:rFonts w:ascii="Bookman Old Style" w:hAnsi="Bookman Old Style" w:cs="Arial"/>
          <w:sz w:val="28"/>
          <w:szCs w:val="28"/>
          <w:lang w:val="el-GR"/>
        </w:rPr>
        <w:t xml:space="preserve"> ποσό</w:t>
      </w:r>
      <w:r w:rsidR="00CF74DC">
        <w:rPr>
          <w:rFonts w:ascii="Bookman Old Style" w:hAnsi="Bookman Old Style" w:cs="Arial"/>
          <w:sz w:val="28"/>
          <w:szCs w:val="28"/>
          <w:lang w:val="el-GR"/>
        </w:rPr>
        <w:t>,</w:t>
      </w:r>
      <w:r>
        <w:rPr>
          <w:rFonts w:ascii="Bookman Old Style" w:hAnsi="Bookman Old Style" w:cs="Arial"/>
          <w:sz w:val="28"/>
          <w:szCs w:val="28"/>
          <w:lang w:val="el-GR"/>
        </w:rPr>
        <w:t xml:space="preserve"> </w:t>
      </w:r>
      <w:r w:rsidR="00CF74DC">
        <w:rPr>
          <w:rFonts w:ascii="Bookman Old Style" w:hAnsi="Bookman Old Style" w:cs="Arial"/>
          <w:sz w:val="28"/>
          <w:szCs w:val="28"/>
          <w:lang w:val="el-GR"/>
        </w:rPr>
        <w:t>ούτε ο Μ.Ε.1 ούτε η Μ.Ε.2 είχαν επιχειρήσει σε οποιοδήποτε στάδιο κατά την κατάθεση τους ενώπιον του Δικαστηρίου να αναλύσουν και να επεξηγήσουν το περιεχόμενο των εν λόγω Καταστάσεων Λογαριασμού.</w:t>
      </w:r>
    </w:p>
    <w:p w14:paraId="5D065099" w14:textId="77777777" w:rsidR="00654F9F" w:rsidRDefault="00654F9F" w:rsidP="00654F9F">
      <w:pPr>
        <w:spacing w:line="480" w:lineRule="auto"/>
        <w:ind w:right="-35"/>
        <w:jc w:val="both"/>
        <w:rPr>
          <w:rFonts w:ascii="Bookman Old Style" w:hAnsi="Bookman Old Style" w:cs="Arial"/>
          <w:sz w:val="28"/>
          <w:szCs w:val="28"/>
          <w:lang w:val="el-GR"/>
        </w:rPr>
      </w:pPr>
    </w:p>
    <w:p w14:paraId="2996FCD0" w14:textId="1842422D" w:rsidR="00654F9F" w:rsidRDefault="00654F9F" w:rsidP="00EC4F7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Ιδιαίτερα σημαντικό στο πλαίσιο της αξιολόγησης που </w:t>
      </w:r>
      <w:proofErr w:type="spellStart"/>
      <w:r>
        <w:rPr>
          <w:rFonts w:ascii="Bookman Old Style" w:hAnsi="Bookman Old Style" w:cs="Arial"/>
          <w:sz w:val="28"/>
          <w:szCs w:val="28"/>
          <w:lang w:val="el-GR"/>
        </w:rPr>
        <w:t>διενεργήθη</w:t>
      </w:r>
      <w:proofErr w:type="spellEnd"/>
      <w:r w:rsidR="00EC4F75">
        <w:rPr>
          <w:rFonts w:ascii="Bookman Old Style" w:hAnsi="Bookman Old Style" w:cs="Arial"/>
          <w:sz w:val="28"/>
          <w:szCs w:val="28"/>
          <w:lang w:val="el-GR"/>
        </w:rPr>
        <w:t xml:space="preserve"> ήτο, επίσης, και το γεγονός της πληρωμής από την Εφεσίβλητη ποσού </w:t>
      </w:r>
      <w:r w:rsidR="00D06943">
        <w:rPr>
          <w:rFonts w:ascii="Bookman Old Style" w:hAnsi="Bookman Old Style" w:cs="Arial"/>
          <w:sz w:val="28"/>
          <w:szCs w:val="28"/>
          <w:lang w:val="el-GR"/>
        </w:rPr>
        <w:t xml:space="preserve">                     </w:t>
      </w:r>
      <w:r w:rsidR="00EC4F75">
        <w:rPr>
          <w:rFonts w:ascii="Bookman Old Style" w:hAnsi="Bookman Old Style" w:cs="Arial"/>
          <w:sz w:val="28"/>
          <w:szCs w:val="28"/>
          <w:lang w:val="el-GR"/>
        </w:rPr>
        <w:t>Λ.Κ.</w:t>
      </w:r>
      <w:r w:rsidR="00D06943">
        <w:rPr>
          <w:rFonts w:ascii="Bookman Old Style" w:hAnsi="Bookman Old Style" w:cs="Arial"/>
          <w:sz w:val="28"/>
          <w:szCs w:val="28"/>
          <w:lang w:val="el-GR"/>
        </w:rPr>
        <w:t xml:space="preserve"> </w:t>
      </w:r>
      <w:r w:rsidR="00EC4F75">
        <w:rPr>
          <w:rFonts w:ascii="Bookman Old Style" w:hAnsi="Bookman Old Style" w:cs="Arial"/>
          <w:sz w:val="28"/>
          <w:szCs w:val="28"/>
          <w:lang w:val="el-GR"/>
        </w:rPr>
        <w:t xml:space="preserve">2000 το οποίο αποδεδειγμένα δεν είχε καταχωρηθεί στον επίδικο λογαριασμό που η </w:t>
      </w:r>
      <w:proofErr w:type="spellStart"/>
      <w:r w:rsidR="00EC4F75">
        <w:rPr>
          <w:rFonts w:ascii="Bookman Old Style" w:hAnsi="Bookman Old Style" w:cs="Arial"/>
          <w:sz w:val="28"/>
          <w:szCs w:val="28"/>
          <w:lang w:val="el-GR"/>
        </w:rPr>
        <w:t>Εφεσείουσα</w:t>
      </w:r>
      <w:proofErr w:type="spellEnd"/>
      <w:r w:rsidR="00EC4F75">
        <w:rPr>
          <w:rFonts w:ascii="Bookman Old Style" w:hAnsi="Bookman Old Style" w:cs="Arial"/>
          <w:sz w:val="28"/>
          <w:szCs w:val="28"/>
          <w:lang w:val="el-GR"/>
        </w:rPr>
        <w:t xml:space="preserve"> τηρούσε για τις δοσοληψίες της με την Εφεσίβλητη</w:t>
      </w:r>
      <w:r w:rsidR="00D06943">
        <w:rPr>
          <w:rFonts w:ascii="Bookman Old Style" w:hAnsi="Bookman Old Style" w:cs="Arial"/>
          <w:sz w:val="28"/>
          <w:szCs w:val="28"/>
          <w:lang w:val="el-GR"/>
        </w:rPr>
        <w:t>,</w:t>
      </w:r>
      <w:r w:rsidR="00EC4F75">
        <w:rPr>
          <w:rFonts w:ascii="Bookman Old Style" w:hAnsi="Bookman Old Style" w:cs="Arial"/>
          <w:sz w:val="28"/>
          <w:szCs w:val="28"/>
          <w:lang w:val="el-GR"/>
        </w:rPr>
        <w:t xml:space="preserve"> αλλά ούτε και στις πιο πάνω αναφερόμενες Καταστάσεις Λογαριασμού</w:t>
      </w:r>
      <w:r w:rsidR="007F1C23" w:rsidRPr="007F1C23">
        <w:rPr>
          <w:rFonts w:ascii="Bookman Old Style" w:hAnsi="Bookman Old Style" w:cs="Arial"/>
          <w:sz w:val="28"/>
          <w:szCs w:val="28"/>
          <w:lang w:val="el-GR"/>
        </w:rPr>
        <w:t xml:space="preserve">. </w:t>
      </w:r>
      <w:r w:rsidR="007F1C23">
        <w:rPr>
          <w:rFonts w:ascii="Bookman Old Style" w:hAnsi="Bookman Old Style" w:cs="Arial"/>
          <w:sz w:val="28"/>
          <w:szCs w:val="28"/>
          <w:lang w:val="el-GR"/>
        </w:rPr>
        <w:t>Όπως ο Μ.Ε.1 είχε ισχυριστεί</w:t>
      </w:r>
      <w:r w:rsidR="00B12C41">
        <w:rPr>
          <w:rFonts w:ascii="Bookman Old Style" w:hAnsi="Bookman Old Style" w:cs="Arial"/>
          <w:sz w:val="28"/>
          <w:szCs w:val="28"/>
          <w:lang w:val="el-GR"/>
        </w:rPr>
        <w:t>,</w:t>
      </w:r>
      <w:r w:rsidR="007F1C23">
        <w:rPr>
          <w:rFonts w:ascii="Bookman Old Style" w:hAnsi="Bookman Old Style" w:cs="Arial"/>
          <w:sz w:val="28"/>
          <w:szCs w:val="28"/>
          <w:lang w:val="el-GR"/>
        </w:rPr>
        <w:t xml:space="preserve"> </w:t>
      </w:r>
      <w:r w:rsidR="00B12C41">
        <w:rPr>
          <w:rFonts w:ascii="Bookman Old Style" w:hAnsi="Bookman Old Style" w:cs="Arial"/>
          <w:sz w:val="28"/>
          <w:szCs w:val="28"/>
          <w:lang w:val="el-GR"/>
        </w:rPr>
        <w:t>το ποσό των Λ.Κ.</w:t>
      </w:r>
      <w:r w:rsidR="00D06943">
        <w:rPr>
          <w:rFonts w:ascii="Bookman Old Style" w:hAnsi="Bookman Old Style" w:cs="Arial"/>
          <w:sz w:val="28"/>
          <w:szCs w:val="28"/>
          <w:lang w:val="el-GR"/>
        </w:rPr>
        <w:t xml:space="preserve"> </w:t>
      </w:r>
      <w:r w:rsidR="00B12C41">
        <w:rPr>
          <w:rFonts w:ascii="Bookman Old Style" w:hAnsi="Bookman Old Style" w:cs="Arial"/>
          <w:sz w:val="28"/>
          <w:szCs w:val="28"/>
          <w:lang w:val="el-GR"/>
        </w:rPr>
        <w:t>2000 που η Εφεσίβλητη είχε καταβάλει μέσω δύο επιταγών (</w:t>
      </w:r>
      <w:r w:rsidR="00B12C41" w:rsidRPr="00B12C41">
        <w:rPr>
          <w:rFonts w:ascii="Bookman Old Style" w:hAnsi="Bookman Old Style" w:cs="Arial"/>
          <w:b/>
          <w:bCs/>
          <w:sz w:val="28"/>
          <w:szCs w:val="28"/>
          <w:lang w:val="el-GR"/>
        </w:rPr>
        <w:t>Τεκμήρια 78</w:t>
      </w:r>
      <w:r w:rsidR="00B12C41">
        <w:rPr>
          <w:rFonts w:ascii="Bookman Old Style" w:hAnsi="Bookman Old Style" w:cs="Arial"/>
          <w:sz w:val="28"/>
          <w:szCs w:val="28"/>
          <w:lang w:val="el-GR"/>
        </w:rPr>
        <w:t xml:space="preserve"> και </w:t>
      </w:r>
      <w:r w:rsidR="00B12C41" w:rsidRPr="00B12C41">
        <w:rPr>
          <w:rFonts w:ascii="Bookman Old Style" w:hAnsi="Bookman Old Style" w:cs="Arial"/>
          <w:b/>
          <w:bCs/>
          <w:sz w:val="28"/>
          <w:szCs w:val="28"/>
          <w:lang w:val="el-GR"/>
        </w:rPr>
        <w:t>79</w:t>
      </w:r>
      <w:r w:rsidR="00B12C41">
        <w:rPr>
          <w:rFonts w:ascii="Bookman Old Style" w:hAnsi="Bookman Old Style" w:cs="Arial"/>
          <w:sz w:val="28"/>
          <w:szCs w:val="28"/>
          <w:lang w:val="el-GR"/>
        </w:rPr>
        <w:t>) έναντι του επίδικου λογαριασμού της</w:t>
      </w:r>
      <w:r w:rsidR="00B12C41" w:rsidRPr="00B12C41">
        <w:rPr>
          <w:rFonts w:ascii="Bookman Old Style" w:hAnsi="Bookman Old Style" w:cs="Arial"/>
          <w:sz w:val="28"/>
          <w:szCs w:val="28"/>
          <w:lang w:val="el-GR"/>
        </w:rPr>
        <w:t>,</w:t>
      </w:r>
      <w:r w:rsidR="00B12C41">
        <w:rPr>
          <w:rFonts w:ascii="Bookman Old Style" w:hAnsi="Bookman Old Style" w:cs="Arial"/>
          <w:sz w:val="28"/>
          <w:szCs w:val="28"/>
          <w:lang w:val="el-GR"/>
        </w:rPr>
        <w:t xml:space="preserve"> αν και κατατέθηκε στον προσωπικό λογαριασμό του Μ.Ε.1</w:t>
      </w:r>
      <w:r w:rsidR="00B12C41" w:rsidRPr="00B12C41">
        <w:rPr>
          <w:rFonts w:ascii="Bookman Old Style" w:hAnsi="Bookman Old Style" w:cs="Arial"/>
          <w:sz w:val="28"/>
          <w:szCs w:val="28"/>
          <w:lang w:val="el-GR"/>
        </w:rPr>
        <w:t>,</w:t>
      </w:r>
      <w:r w:rsidR="00B12C41">
        <w:rPr>
          <w:rFonts w:ascii="Bookman Old Style" w:hAnsi="Bookman Old Style" w:cs="Arial"/>
          <w:sz w:val="28"/>
          <w:szCs w:val="28"/>
          <w:lang w:val="el-GR"/>
        </w:rPr>
        <w:t xml:space="preserve"> εντούτοις λογίστηκε έναντι του χρέους της και πιστώθηκε στο λογαριασμό της και ότι εκ λάθους καταχωρήθηκε στο λογαριασμό της ως επιστροφή εμπορευμάτων (</w:t>
      </w:r>
      <w:r w:rsidR="00B12C41" w:rsidRPr="00B12C41">
        <w:rPr>
          <w:rFonts w:ascii="Bookman Old Style" w:hAnsi="Bookman Old Style" w:cs="Arial"/>
          <w:i/>
          <w:iCs/>
          <w:sz w:val="28"/>
          <w:szCs w:val="28"/>
          <w:lang w:val="en-US"/>
        </w:rPr>
        <w:t>credit</w:t>
      </w:r>
      <w:r w:rsidR="00B12C41" w:rsidRPr="00B12C41">
        <w:rPr>
          <w:rFonts w:ascii="Bookman Old Style" w:hAnsi="Bookman Old Style" w:cs="Arial"/>
          <w:i/>
          <w:iCs/>
          <w:sz w:val="28"/>
          <w:szCs w:val="28"/>
          <w:lang w:val="el-GR"/>
        </w:rPr>
        <w:t xml:space="preserve"> </w:t>
      </w:r>
      <w:r w:rsidR="00B12C41" w:rsidRPr="00B12C41">
        <w:rPr>
          <w:rFonts w:ascii="Bookman Old Style" w:hAnsi="Bookman Old Style" w:cs="Arial"/>
          <w:i/>
          <w:iCs/>
          <w:sz w:val="28"/>
          <w:szCs w:val="28"/>
          <w:lang w:val="en-US"/>
        </w:rPr>
        <w:t>return</w:t>
      </w:r>
      <w:r w:rsidR="00B12C41" w:rsidRPr="00B12C41">
        <w:rPr>
          <w:rFonts w:ascii="Bookman Old Style" w:hAnsi="Bookman Old Style" w:cs="Arial"/>
          <w:sz w:val="28"/>
          <w:szCs w:val="28"/>
          <w:lang w:val="el-GR"/>
        </w:rPr>
        <w:t xml:space="preserve">) </w:t>
      </w:r>
      <w:r w:rsidR="00B12C41">
        <w:rPr>
          <w:rFonts w:ascii="Bookman Old Style" w:hAnsi="Bookman Old Style" w:cs="Arial"/>
          <w:sz w:val="28"/>
          <w:szCs w:val="28"/>
          <w:lang w:val="el-GR"/>
        </w:rPr>
        <w:t>για την οποία υπήρχε σχετική καταχώρ</w:t>
      </w:r>
      <w:r w:rsidR="00D06943">
        <w:rPr>
          <w:rFonts w:ascii="Bookman Old Style" w:hAnsi="Bookman Old Style" w:cs="Arial"/>
          <w:sz w:val="28"/>
          <w:szCs w:val="28"/>
          <w:lang w:val="el-GR"/>
        </w:rPr>
        <w:t>ι</w:t>
      </w:r>
      <w:r w:rsidR="00B12C41">
        <w:rPr>
          <w:rFonts w:ascii="Bookman Old Style" w:hAnsi="Bookman Old Style" w:cs="Arial"/>
          <w:sz w:val="28"/>
          <w:szCs w:val="28"/>
          <w:lang w:val="el-GR"/>
        </w:rPr>
        <w:t>ση στ</w:t>
      </w:r>
      <w:r w:rsidR="00D27408">
        <w:rPr>
          <w:rFonts w:ascii="Bookman Old Style" w:hAnsi="Bookman Old Style" w:cs="Arial"/>
          <w:sz w:val="28"/>
          <w:szCs w:val="28"/>
          <w:lang w:val="el-GR"/>
        </w:rPr>
        <w:t xml:space="preserve">ην Κατάσταση Λογαριασμού, </w:t>
      </w:r>
      <w:r w:rsidR="00D27408" w:rsidRPr="00D27408">
        <w:rPr>
          <w:rFonts w:ascii="Bookman Old Style" w:hAnsi="Bookman Old Style" w:cs="Arial"/>
          <w:b/>
          <w:bCs/>
          <w:sz w:val="28"/>
          <w:szCs w:val="28"/>
          <w:lang w:val="el-GR"/>
        </w:rPr>
        <w:t>Τεκμήριο 4</w:t>
      </w:r>
      <w:r w:rsidR="00D27408">
        <w:rPr>
          <w:rFonts w:ascii="Bookman Old Style" w:hAnsi="Bookman Old Style" w:cs="Arial"/>
          <w:sz w:val="28"/>
          <w:szCs w:val="28"/>
          <w:lang w:val="el-GR"/>
        </w:rPr>
        <w:t xml:space="preserve">, </w:t>
      </w:r>
      <w:proofErr w:type="spellStart"/>
      <w:r w:rsidR="00D27408">
        <w:rPr>
          <w:rFonts w:ascii="Bookman Old Style" w:hAnsi="Bookman Old Style" w:cs="Arial"/>
          <w:sz w:val="28"/>
          <w:szCs w:val="28"/>
          <w:lang w:val="el-GR"/>
        </w:rPr>
        <w:t>ημερ</w:t>
      </w:r>
      <w:proofErr w:type="spellEnd"/>
      <w:r w:rsidR="00D27408">
        <w:rPr>
          <w:rFonts w:ascii="Bookman Old Style" w:hAnsi="Bookman Old Style" w:cs="Arial"/>
          <w:sz w:val="28"/>
          <w:szCs w:val="28"/>
          <w:lang w:val="el-GR"/>
        </w:rPr>
        <w:t>. 22/3/2005 για ποσό Λ.Κ.</w:t>
      </w:r>
      <w:r w:rsidR="00D06943">
        <w:rPr>
          <w:rFonts w:ascii="Bookman Old Style" w:hAnsi="Bookman Old Style" w:cs="Arial"/>
          <w:sz w:val="28"/>
          <w:szCs w:val="28"/>
          <w:lang w:val="el-GR"/>
        </w:rPr>
        <w:t xml:space="preserve"> </w:t>
      </w:r>
      <w:r w:rsidR="00D27408">
        <w:rPr>
          <w:rFonts w:ascii="Bookman Old Style" w:hAnsi="Bookman Old Style" w:cs="Arial"/>
          <w:sz w:val="28"/>
          <w:szCs w:val="28"/>
          <w:lang w:val="el-GR"/>
        </w:rPr>
        <w:t>2300. Δηλαδή</w:t>
      </w:r>
      <w:r w:rsidR="00D27408" w:rsidRPr="00D27408">
        <w:rPr>
          <w:rFonts w:ascii="Bookman Old Style" w:hAnsi="Bookman Old Style" w:cs="Arial"/>
          <w:sz w:val="28"/>
          <w:szCs w:val="28"/>
          <w:lang w:val="el-GR"/>
        </w:rPr>
        <w:t xml:space="preserve">, </w:t>
      </w:r>
      <w:r w:rsidR="00D27408">
        <w:rPr>
          <w:rFonts w:ascii="Bookman Old Style" w:hAnsi="Bookman Old Style" w:cs="Arial"/>
          <w:sz w:val="28"/>
          <w:szCs w:val="28"/>
          <w:lang w:val="el-GR"/>
        </w:rPr>
        <w:t>η εκδοχή που ο Μ.Ε</w:t>
      </w:r>
      <w:r w:rsidR="00D06943">
        <w:rPr>
          <w:rFonts w:ascii="Bookman Old Style" w:hAnsi="Bookman Old Style" w:cs="Arial"/>
          <w:sz w:val="28"/>
          <w:szCs w:val="28"/>
          <w:lang w:val="el-GR"/>
        </w:rPr>
        <w:t>.</w:t>
      </w:r>
      <w:r w:rsidR="00D27408">
        <w:rPr>
          <w:rFonts w:ascii="Bookman Old Style" w:hAnsi="Bookman Old Style" w:cs="Arial"/>
          <w:sz w:val="28"/>
          <w:szCs w:val="28"/>
          <w:lang w:val="el-GR"/>
        </w:rPr>
        <w:t xml:space="preserve">1 προώθησε ήταν ότι αντί η </w:t>
      </w:r>
      <w:proofErr w:type="spellStart"/>
      <w:r w:rsidR="00D27408">
        <w:rPr>
          <w:rFonts w:ascii="Bookman Old Style" w:hAnsi="Bookman Old Style" w:cs="Arial"/>
          <w:sz w:val="28"/>
          <w:szCs w:val="28"/>
          <w:lang w:val="el-GR"/>
        </w:rPr>
        <w:t>Εφεσείουσα</w:t>
      </w:r>
      <w:proofErr w:type="spellEnd"/>
      <w:r w:rsidR="00D27408">
        <w:rPr>
          <w:rFonts w:ascii="Bookman Old Style" w:hAnsi="Bookman Old Style" w:cs="Arial"/>
          <w:sz w:val="28"/>
          <w:szCs w:val="28"/>
          <w:lang w:val="el-GR"/>
        </w:rPr>
        <w:t xml:space="preserve"> να εκδώσει απόδειξη πληρωμής έναντι λογαριασμού, εξέδωσε πιστωτική σημείωση (</w:t>
      </w:r>
      <w:r w:rsidR="00D27408" w:rsidRPr="003B6088">
        <w:rPr>
          <w:rFonts w:ascii="Bookman Old Style" w:hAnsi="Bookman Old Style" w:cs="Arial"/>
          <w:i/>
          <w:iCs/>
          <w:sz w:val="28"/>
          <w:szCs w:val="28"/>
          <w:lang w:val="en-US"/>
        </w:rPr>
        <w:t>credit</w:t>
      </w:r>
      <w:r w:rsidR="00D27408" w:rsidRPr="003B6088">
        <w:rPr>
          <w:rFonts w:ascii="Bookman Old Style" w:hAnsi="Bookman Old Style" w:cs="Arial"/>
          <w:i/>
          <w:iCs/>
          <w:sz w:val="28"/>
          <w:szCs w:val="28"/>
          <w:lang w:val="el-GR"/>
        </w:rPr>
        <w:t xml:space="preserve"> </w:t>
      </w:r>
      <w:r w:rsidR="00D27408" w:rsidRPr="003B6088">
        <w:rPr>
          <w:rFonts w:ascii="Bookman Old Style" w:hAnsi="Bookman Old Style" w:cs="Arial"/>
          <w:i/>
          <w:iCs/>
          <w:sz w:val="28"/>
          <w:szCs w:val="28"/>
          <w:lang w:val="en-US"/>
        </w:rPr>
        <w:t>note</w:t>
      </w:r>
      <w:r w:rsidR="00D27408" w:rsidRPr="00D27408">
        <w:rPr>
          <w:rFonts w:ascii="Bookman Old Style" w:hAnsi="Bookman Old Style" w:cs="Arial"/>
          <w:sz w:val="28"/>
          <w:szCs w:val="28"/>
          <w:lang w:val="el-GR"/>
        </w:rPr>
        <w:t>).</w:t>
      </w:r>
      <w:r w:rsidR="00D27408">
        <w:rPr>
          <w:rFonts w:ascii="Bookman Old Style" w:hAnsi="Bookman Old Style" w:cs="Arial"/>
          <w:sz w:val="28"/>
          <w:szCs w:val="28"/>
          <w:lang w:val="el-GR"/>
        </w:rPr>
        <w:t xml:space="preserve"> Το παράδοξο, ωστόσο, της όλης εκδοχής που το πρωτόδικο Δικαστήριο δεν παρέλειψε να επισημάνει</w:t>
      </w:r>
      <w:r w:rsidR="003B6088">
        <w:rPr>
          <w:rFonts w:ascii="Bookman Old Style" w:hAnsi="Bookman Old Style" w:cs="Arial"/>
          <w:sz w:val="28"/>
          <w:szCs w:val="28"/>
          <w:lang w:val="el-GR"/>
        </w:rPr>
        <w:t xml:space="preserve"> και ορθώς το ανέδειξε ως ουσιαστικό σημείο που έπληττε την αξιοπιστία του Μ.Ε.1,</w:t>
      </w:r>
      <w:r w:rsidR="00D27408">
        <w:rPr>
          <w:rFonts w:ascii="Bookman Old Style" w:hAnsi="Bookman Old Style" w:cs="Arial"/>
          <w:sz w:val="28"/>
          <w:szCs w:val="28"/>
          <w:lang w:val="el-GR"/>
        </w:rPr>
        <w:t xml:space="preserve"> είναι ότι</w:t>
      </w:r>
      <w:r w:rsidR="003B6088">
        <w:rPr>
          <w:rFonts w:ascii="Bookman Old Style" w:hAnsi="Bookman Old Style" w:cs="Arial"/>
          <w:sz w:val="28"/>
          <w:szCs w:val="28"/>
          <w:lang w:val="el-GR"/>
        </w:rPr>
        <w:t xml:space="preserve"> όταν υπεδείχθη</w:t>
      </w:r>
      <w:r w:rsidR="00D27408">
        <w:rPr>
          <w:rFonts w:ascii="Bookman Old Style" w:hAnsi="Bookman Old Style" w:cs="Arial"/>
          <w:sz w:val="28"/>
          <w:szCs w:val="28"/>
          <w:lang w:val="el-GR"/>
        </w:rPr>
        <w:t xml:space="preserve"> </w:t>
      </w:r>
      <w:r w:rsidR="003B6088">
        <w:rPr>
          <w:rFonts w:ascii="Bookman Old Style" w:hAnsi="Bookman Old Style" w:cs="Arial"/>
          <w:sz w:val="28"/>
          <w:szCs w:val="28"/>
          <w:lang w:val="el-GR"/>
        </w:rPr>
        <w:t>στο Μ.Ε.1</w:t>
      </w:r>
      <w:r w:rsidR="00660471">
        <w:rPr>
          <w:rFonts w:ascii="Bookman Old Style" w:hAnsi="Bookman Old Style" w:cs="Arial"/>
          <w:sz w:val="28"/>
          <w:szCs w:val="28"/>
          <w:lang w:val="el-GR"/>
        </w:rPr>
        <w:t>,</w:t>
      </w:r>
      <w:r w:rsidR="003B6088">
        <w:rPr>
          <w:rFonts w:ascii="Bookman Old Style" w:hAnsi="Bookman Old Style" w:cs="Arial"/>
          <w:sz w:val="28"/>
          <w:szCs w:val="28"/>
          <w:lang w:val="el-GR"/>
        </w:rPr>
        <w:t xml:space="preserve"> κατά την </w:t>
      </w:r>
      <w:proofErr w:type="spellStart"/>
      <w:r w:rsidR="003B6088">
        <w:rPr>
          <w:rFonts w:ascii="Bookman Old Style" w:hAnsi="Bookman Old Style" w:cs="Arial"/>
          <w:sz w:val="28"/>
          <w:szCs w:val="28"/>
          <w:lang w:val="el-GR"/>
        </w:rPr>
        <w:t>αντεξέταση</w:t>
      </w:r>
      <w:proofErr w:type="spellEnd"/>
      <w:r w:rsidR="003B6088" w:rsidRPr="003B6088">
        <w:rPr>
          <w:rFonts w:ascii="Bookman Old Style" w:hAnsi="Bookman Old Style" w:cs="Arial"/>
          <w:sz w:val="28"/>
          <w:szCs w:val="28"/>
          <w:lang w:val="el-GR"/>
        </w:rPr>
        <w:t xml:space="preserve"> </w:t>
      </w:r>
      <w:r w:rsidR="003B6088">
        <w:rPr>
          <w:rFonts w:ascii="Bookman Old Style" w:hAnsi="Bookman Old Style" w:cs="Arial"/>
          <w:sz w:val="28"/>
          <w:szCs w:val="28"/>
          <w:lang w:val="el-GR"/>
        </w:rPr>
        <w:t>του</w:t>
      </w:r>
      <w:r w:rsidR="00660471">
        <w:rPr>
          <w:rFonts w:ascii="Bookman Old Style" w:hAnsi="Bookman Old Style" w:cs="Arial"/>
          <w:sz w:val="28"/>
          <w:szCs w:val="28"/>
          <w:lang w:val="el-GR"/>
        </w:rPr>
        <w:t>,</w:t>
      </w:r>
      <w:r w:rsidR="003B6088">
        <w:rPr>
          <w:rFonts w:ascii="Bookman Old Style" w:hAnsi="Bookman Old Style" w:cs="Arial"/>
          <w:sz w:val="28"/>
          <w:szCs w:val="28"/>
          <w:lang w:val="el-GR"/>
        </w:rPr>
        <w:t xml:space="preserve"> το </w:t>
      </w:r>
      <w:r w:rsidR="003B6088" w:rsidRPr="003B6088">
        <w:rPr>
          <w:rFonts w:ascii="Bookman Old Style" w:hAnsi="Bookman Old Style" w:cs="Arial"/>
          <w:b/>
          <w:bCs/>
          <w:sz w:val="28"/>
          <w:szCs w:val="28"/>
          <w:lang w:val="el-GR"/>
        </w:rPr>
        <w:t>Τεκμήριο 39</w:t>
      </w:r>
      <w:r w:rsidR="003B6088">
        <w:rPr>
          <w:rFonts w:ascii="Bookman Old Style" w:hAnsi="Bookman Old Style" w:cs="Arial"/>
          <w:sz w:val="28"/>
          <w:szCs w:val="28"/>
          <w:lang w:val="el-GR"/>
        </w:rPr>
        <w:t xml:space="preserve"> το οποίο αφορούσε σε</w:t>
      </w:r>
      <w:r w:rsidR="003B6088" w:rsidRPr="003B6088">
        <w:rPr>
          <w:rFonts w:ascii="Bookman Old Style" w:hAnsi="Bookman Old Style" w:cs="Arial"/>
          <w:i/>
          <w:iCs/>
          <w:sz w:val="28"/>
          <w:szCs w:val="28"/>
          <w:lang w:val="el-GR"/>
        </w:rPr>
        <w:t xml:space="preserve"> </w:t>
      </w:r>
      <w:r w:rsidR="003B6088" w:rsidRPr="003B6088">
        <w:rPr>
          <w:rFonts w:ascii="Bookman Old Style" w:hAnsi="Bookman Old Style" w:cs="Arial"/>
          <w:sz w:val="28"/>
          <w:szCs w:val="28"/>
          <w:lang w:val="en-US"/>
        </w:rPr>
        <w:t>CREDIT</w:t>
      </w:r>
      <w:r w:rsidR="003B6088" w:rsidRPr="003B6088">
        <w:rPr>
          <w:rFonts w:ascii="Bookman Old Style" w:hAnsi="Bookman Old Style" w:cs="Arial"/>
          <w:sz w:val="28"/>
          <w:szCs w:val="28"/>
          <w:lang w:val="el-GR"/>
        </w:rPr>
        <w:t xml:space="preserve"> </w:t>
      </w:r>
      <w:r w:rsidR="003B6088" w:rsidRPr="003B6088">
        <w:rPr>
          <w:rFonts w:ascii="Bookman Old Style" w:hAnsi="Bookman Old Style" w:cs="Arial"/>
          <w:sz w:val="28"/>
          <w:szCs w:val="28"/>
          <w:lang w:val="en-US"/>
        </w:rPr>
        <w:t>RETURN</w:t>
      </w:r>
      <w:r w:rsidR="00D06943">
        <w:rPr>
          <w:rFonts w:ascii="Bookman Old Style" w:hAnsi="Bookman Old Style" w:cs="Arial"/>
          <w:sz w:val="28"/>
          <w:szCs w:val="28"/>
          <w:lang w:val="el-GR"/>
        </w:rPr>
        <w:t>,</w:t>
      </w:r>
      <w:r w:rsidR="003B6088" w:rsidRPr="003B6088">
        <w:rPr>
          <w:rFonts w:ascii="Bookman Old Style" w:hAnsi="Bookman Old Style" w:cs="Arial"/>
          <w:sz w:val="28"/>
          <w:szCs w:val="28"/>
          <w:lang w:val="el-GR"/>
        </w:rPr>
        <w:t xml:space="preserve"> </w:t>
      </w:r>
      <w:proofErr w:type="spellStart"/>
      <w:r w:rsidR="003B6088">
        <w:rPr>
          <w:rFonts w:ascii="Bookman Old Style" w:hAnsi="Bookman Old Style" w:cs="Arial"/>
          <w:sz w:val="28"/>
          <w:szCs w:val="28"/>
          <w:lang w:val="el-GR"/>
        </w:rPr>
        <w:t>ημερ</w:t>
      </w:r>
      <w:proofErr w:type="spellEnd"/>
      <w:r w:rsidR="003B6088">
        <w:rPr>
          <w:rFonts w:ascii="Bookman Old Style" w:hAnsi="Bookman Old Style" w:cs="Arial"/>
          <w:sz w:val="28"/>
          <w:szCs w:val="28"/>
          <w:lang w:val="el-GR"/>
        </w:rPr>
        <w:t xml:space="preserve">. 22/3/2005 </w:t>
      </w:r>
      <w:r w:rsidR="00660471">
        <w:rPr>
          <w:rFonts w:ascii="Bookman Old Style" w:hAnsi="Bookman Old Style" w:cs="Arial"/>
          <w:sz w:val="28"/>
          <w:szCs w:val="28"/>
          <w:lang w:val="el-GR"/>
        </w:rPr>
        <w:t xml:space="preserve">και από το οποίο </w:t>
      </w:r>
      <w:proofErr w:type="spellStart"/>
      <w:r w:rsidR="003B6088">
        <w:rPr>
          <w:rFonts w:ascii="Bookman Old Style" w:hAnsi="Bookman Old Style" w:cs="Arial"/>
          <w:sz w:val="28"/>
          <w:szCs w:val="28"/>
          <w:lang w:val="el-GR"/>
        </w:rPr>
        <w:t>προέκυπτε</w:t>
      </w:r>
      <w:proofErr w:type="spellEnd"/>
      <w:r w:rsidR="003B6088">
        <w:rPr>
          <w:rFonts w:ascii="Bookman Old Style" w:hAnsi="Bookman Old Style" w:cs="Arial"/>
          <w:sz w:val="28"/>
          <w:szCs w:val="28"/>
          <w:lang w:val="el-GR"/>
        </w:rPr>
        <w:t xml:space="preserve"> ότι πράγματι εκείνη την ημερομηνία υπήρχε επιστροφή συγκεκριμένων εμπορευμάτων που περιγράφονταν, για ποσό Λ.Κ. 2300, η θέση του ήταν ότι και αυτό, δηλ. το </w:t>
      </w:r>
      <w:r w:rsidR="003B6088" w:rsidRPr="00660471">
        <w:rPr>
          <w:rFonts w:ascii="Bookman Old Style" w:hAnsi="Bookman Old Style" w:cs="Arial"/>
          <w:b/>
          <w:bCs/>
          <w:sz w:val="28"/>
          <w:szCs w:val="28"/>
          <w:lang w:val="el-GR"/>
        </w:rPr>
        <w:t>Τεκμήριο 39</w:t>
      </w:r>
      <w:r w:rsidR="003B6088">
        <w:rPr>
          <w:rFonts w:ascii="Bookman Old Style" w:hAnsi="Bookman Old Style" w:cs="Arial"/>
          <w:sz w:val="28"/>
          <w:szCs w:val="28"/>
          <w:lang w:val="el-GR"/>
        </w:rPr>
        <w:t xml:space="preserve">, είχε </w:t>
      </w:r>
      <w:r w:rsidR="00660471">
        <w:rPr>
          <w:rFonts w:ascii="Bookman Old Style" w:hAnsi="Bookman Old Style" w:cs="Arial"/>
          <w:sz w:val="28"/>
          <w:szCs w:val="28"/>
          <w:lang w:val="el-GR"/>
        </w:rPr>
        <w:t>από λάθος του λογιστηρίου γραφτεί, χωρίς βεβαίως να μπορέσει</w:t>
      </w:r>
      <w:r w:rsidR="008A4C98">
        <w:rPr>
          <w:rFonts w:ascii="Bookman Old Style" w:hAnsi="Bookman Old Style" w:cs="Arial"/>
          <w:sz w:val="28"/>
          <w:szCs w:val="28"/>
          <w:lang w:val="el-GR"/>
        </w:rPr>
        <w:t>,</w:t>
      </w:r>
      <w:r w:rsidR="00660471">
        <w:rPr>
          <w:rFonts w:ascii="Bookman Old Style" w:hAnsi="Bookman Old Style" w:cs="Arial"/>
          <w:sz w:val="28"/>
          <w:szCs w:val="28"/>
          <w:lang w:val="el-GR"/>
        </w:rPr>
        <w:t xml:space="preserve"> στο τέλος</w:t>
      </w:r>
      <w:r w:rsidR="008A4C98">
        <w:rPr>
          <w:rFonts w:ascii="Bookman Old Style" w:hAnsi="Bookman Old Style" w:cs="Arial"/>
          <w:sz w:val="28"/>
          <w:szCs w:val="28"/>
          <w:lang w:val="el-GR"/>
        </w:rPr>
        <w:t>,</w:t>
      </w:r>
      <w:r w:rsidR="00660471">
        <w:rPr>
          <w:rFonts w:ascii="Bookman Old Style" w:hAnsi="Bookman Old Style" w:cs="Arial"/>
          <w:sz w:val="28"/>
          <w:szCs w:val="28"/>
          <w:lang w:val="el-GR"/>
        </w:rPr>
        <w:t xml:space="preserve"> να εξηγήσει </w:t>
      </w:r>
      <w:r w:rsidR="00B52EC6">
        <w:rPr>
          <w:rFonts w:ascii="Bookman Old Style" w:hAnsi="Bookman Old Style" w:cs="Arial"/>
          <w:sz w:val="28"/>
          <w:szCs w:val="28"/>
          <w:lang w:val="el-GR"/>
        </w:rPr>
        <w:t>τι πληροφόρηση είχε</w:t>
      </w:r>
      <w:r w:rsidR="00660471">
        <w:rPr>
          <w:rFonts w:ascii="Bookman Old Style" w:hAnsi="Bookman Old Style" w:cs="Arial"/>
          <w:sz w:val="28"/>
          <w:szCs w:val="28"/>
          <w:lang w:val="el-GR"/>
        </w:rPr>
        <w:t xml:space="preserve"> το λογιστήριο </w:t>
      </w:r>
      <w:r w:rsidR="00B52EC6">
        <w:rPr>
          <w:rFonts w:ascii="Bookman Old Style" w:hAnsi="Bookman Old Style" w:cs="Arial"/>
          <w:sz w:val="28"/>
          <w:szCs w:val="28"/>
          <w:lang w:val="el-GR"/>
        </w:rPr>
        <w:t>και κατέγραψε</w:t>
      </w:r>
      <w:r w:rsidR="008A4C98">
        <w:rPr>
          <w:rFonts w:ascii="Bookman Old Style" w:hAnsi="Bookman Old Style" w:cs="Arial"/>
          <w:sz w:val="28"/>
          <w:szCs w:val="28"/>
          <w:lang w:val="el-GR"/>
        </w:rPr>
        <w:t>, στο εν λόγω έγγραφο,</w:t>
      </w:r>
      <w:r w:rsidR="00660471">
        <w:rPr>
          <w:rFonts w:ascii="Bookman Old Style" w:hAnsi="Bookman Old Style" w:cs="Arial"/>
          <w:sz w:val="28"/>
          <w:szCs w:val="28"/>
          <w:lang w:val="el-GR"/>
        </w:rPr>
        <w:t xml:space="preserve"> συγκεκριμένα εμπορεύματα.</w:t>
      </w:r>
      <w:r w:rsidR="008A4C98">
        <w:rPr>
          <w:rFonts w:ascii="Bookman Old Style" w:hAnsi="Bookman Old Style" w:cs="Arial"/>
          <w:sz w:val="28"/>
          <w:szCs w:val="28"/>
          <w:lang w:val="el-GR"/>
        </w:rPr>
        <w:t xml:space="preserve"> Όπως είναι εύκολα αντιληπτό, ούτε ο Μ.Ε.1 αλλά ούτε και η Μ.Ε.2 ήταν</w:t>
      </w:r>
      <w:r w:rsidR="004A0D43">
        <w:rPr>
          <w:rFonts w:ascii="Bookman Old Style" w:hAnsi="Bookman Old Style" w:cs="Arial"/>
          <w:sz w:val="28"/>
          <w:szCs w:val="28"/>
          <w:lang w:val="el-GR"/>
        </w:rPr>
        <w:t>,</w:t>
      </w:r>
      <w:r w:rsidR="008A4C98">
        <w:rPr>
          <w:rFonts w:ascii="Bookman Old Style" w:hAnsi="Bookman Old Style" w:cs="Arial"/>
          <w:sz w:val="28"/>
          <w:szCs w:val="28"/>
          <w:lang w:val="el-GR"/>
        </w:rPr>
        <w:t xml:space="preserve"> τελικώς</w:t>
      </w:r>
      <w:r w:rsidR="004A0D43">
        <w:rPr>
          <w:rFonts w:ascii="Bookman Old Style" w:hAnsi="Bookman Old Style" w:cs="Arial"/>
          <w:sz w:val="28"/>
          <w:szCs w:val="28"/>
          <w:lang w:val="el-GR"/>
        </w:rPr>
        <w:t>,</w:t>
      </w:r>
      <w:r w:rsidR="008A4C98">
        <w:rPr>
          <w:rFonts w:ascii="Bookman Old Style" w:hAnsi="Bookman Old Style" w:cs="Arial"/>
          <w:sz w:val="28"/>
          <w:szCs w:val="28"/>
          <w:lang w:val="el-GR"/>
        </w:rPr>
        <w:t xml:space="preserve"> σε θέση να εξηγήσουν </w:t>
      </w:r>
      <w:r w:rsidR="004A0D43">
        <w:rPr>
          <w:rFonts w:ascii="Bookman Old Style" w:hAnsi="Bookman Old Style" w:cs="Arial"/>
          <w:sz w:val="28"/>
          <w:szCs w:val="28"/>
          <w:lang w:val="el-GR"/>
        </w:rPr>
        <w:t>γιατί στην πιστωτική σημείωση επιστροφής εμπορευμάτων (</w:t>
      </w:r>
      <w:r w:rsidR="004A0D43" w:rsidRPr="004A0D43">
        <w:rPr>
          <w:rFonts w:ascii="Bookman Old Style" w:hAnsi="Bookman Old Style" w:cs="Arial"/>
          <w:b/>
          <w:bCs/>
          <w:sz w:val="28"/>
          <w:szCs w:val="28"/>
          <w:lang w:val="el-GR"/>
        </w:rPr>
        <w:t>Τεκμήριο 39</w:t>
      </w:r>
      <w:r w:rsidR="004A0D43">
        <w:rPr>
          <w:rFonts w:ascii="Bookman Old Style" w:hAnsi="Bookman Old Style" w:cs="Arial"/>
          <w:sz w:val="28"/>
          <w:szCs w:val="28"/>
          <w:lang w:val="el-GR"/>
        </w:rPr>
        <w:t>) αναγράφονταν συγκεκριμένα προϊόντα που είχαν – υποτίθεται - επιστραφεί, αφού η σχετική καταχώρ</w:t>
      </w:r>
      <w:r w:rsidR="00D06943">
        <w:rPr>
          <w:rFonts w:ascii="Bookman Old Style" w:hAnsi="Bookman Old Style" w:cs="Arial"/>
          <w:sz w:val="28"/>
          <w:szCs w:val="28"/>
          <w:lang w:val="el-GR"/>
        </w:rPr>
        <w:t>ι</w:t>
      </w:r>
      <w:r w:rsidR="004A0D43">
        <w:rPr>
          <w:rFonts w:ascii="Bookman Old Style" w:hAnsi="Bookman Old Style" w:cs="Arial"/>
          <w:sz w:val="28"/>
          <w:szCs w:val="28"/>
          <w:lang w:val="el-GR"/>
        </w:rPr>
        <w:t>ση στις Καταστάσεις Λογαριασμού ως επιστροφή εμπορευμάτων, με βάση την εκδοχή τους, έγινε κατόπιν λάθους και υποτίθεται πως κάτι τέτοιο, δηλ. επιστροφή εμπορευμάτων, δεν είχε γίνει.</w:t>
      </w:r>
    </w:p>
    <w:p w14:paraId="0B6FA019" w14:textId="77777777" w:rsidR="00E70BA5" w:rsidRDefault="00E70BA5" w:rsidP="00EC4F75">
      <w:pPr>
        <w:spacing w:line="480" w:lineRule="auto"/>
        <w:ind w:right="-35"/>
        <w:jc w:val="both"/>
        <w:rPr>
          <w:rFonts w:ascii="Bookman Old Style" w:hAnsi="Bookman Old Style" w:cs="Arial"/>
          <w:sz w:val="28"/>
          <w:szCs w:val="28"/>
          <w:lang w:val="el-GR"/>
        </w:rPr>
      </w:pPr>
    </w:p>
    <w:p w14:paraId="11799E13" w14:textId="0AF895DA" w:rsidR="00946350" w:rsidRDefault="00E70BA5" w:rsidP="00EC4F7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Παραπονείται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ότι το πρωτόδικο Δικαστήριο λανθασμένα απέρριψε τη μαρτυρία των Μ.Ε</w:t>
      </w:r>
      <w:r w:rsidR="008A4C98">
        <w:rPr>
          <w:rFonts w:ascii="Bookman Old Style" w:hAnsi="Bookman Old Style" w:cs="Arial"/>
          <w:sz w:val="28"/>
          <w:szCs w:val="28"/>
          <w:lang w:val="el-GR"/>
        </w:rPr>
        <w:t>.</w:t>
      </w:r>
      <w:r>
        <w:rPr>
          <w:rFonts w:ascii="Bookman Old Style" w:hAnsi="Bookman Old Style" w:cs="Arial"/>
          <w:sz w:val="28"/>
          <w:szCs w:val="28"/>
          <w:lang w:val="el-GR"/>
        </w:rPr>
        <w:t>1 και Μ.Ε.2</w:t>
      </w:r>
      <w:r w:rsidR="00D06943">
        <w:rPr>
          <w:rFonts w:ascii="Bookman Old Style" w:hAnsi="Bookman Old Style" w:cs="Arial"/>
          <w:sz w:val="28"/>
          <w:szCs w:val="28"/>
          <w:lang w:val="el-GR"/>
        </w:rPr>
        <w:t>,</w:t>
      </w:r>
      <w:r>
        <w:rPr>
          <w:rFonts w:ascii="Bookman Old Style" w:hAnsi="Bookman Old Style" w:cs="Arial"/>
          <w:sz w:val="28"/>
          <w:szCs w:val="28"/>
          <w:lang w:val="el-GR"/>
        </w:rPr>
        <w:t xml:space="preserve"> αφού θεώρησε ότι θα έπρεπε να αποδειχθεί ότι όλα τα τιμολόγια ήταν υπογεγραμμένα και σε ποιον είχαν παραδοθεί τα εμπορεύματα ενώ με βάση τη νομολογία, όπως υποστηρίχθηκε, δεν υπήρχε τέτοια υποχρέωση. Όπως γίνεται αντιληπτό, έρεισμα για την πιο πάνω θέση αποτέλεσε, μεταξύ άλλων</w:t>
      </w:r>
      <w:r w:rsidR="00946350">
        <w:rPr>
          <w:rFonts w:ascii="Bookman Old Style" w:hAnsi="Bookman Old Style" w:cs="Arial"/>
          <w:sz w:val="28"/>
          <w:szCs w:val="28"/>
          <w:lang w:val="el-GR"/>
        </w:rPr>
        <w:t>, και το ακόλουθο απόσπασμα από την πρωτόδικη Απόφαση:</w:t>
      </w:r>
    </w:p>
    <w:p w14:paraId="260AB51E" w14:textId="77777777" w:rsidR="00946350" w:rsidRDefault="00946350" w:rsidP="00EC4F75">
      <w:pPr>
        <w:spacing w:line="480" w:lineRule="auto"/>
        <w:ind w:right="-35"/>
        <w:jc w:val="both"/>
        <w:rPr>
          <w:rFonts w:ascii="Bookman Old Style" w:hAnsi="Bookman Old Style" w:cs="Arial"/>
          <w:sz w:val="28"/>
          <w:szCs w:val="28"/>
          <w:lang w:val="el-GR"/>
        </w:rPr>
      </w:pPr>
    </w:p>
    <w:p w14:paraId="24538F0E" w14:textId="44CFC8A2" w:rsidR="00E70BA5" w:rsidRDefault="00946350" w:rsidP="00291554">
      <w:pPr>
        <w:spacing w:line="276" w:lineRule="auto"/>
        <w:ind w:left="426" w:right="390"/>
        <w:jc w:val="both"/>
        <w:rPr>
          <w:rFonts w:ascii="Bookman Old Style" w:hAnsi="Bookman Old Style" w:cs="Arial"/>
          <w:sz w:val="26"/>
          <w:szCs w:val="26"/>
          <w:lang w:val="el-GR"/>
        </w:rPr>
      </w:pPr>
      <w:r w:rsidRPr="00632211">
        <w:rPr>
          <w:rFonts w:ascii="Bookman Old Style" w:hAnsi="Bookman Old Style" w:cs="Arial"/>
          <w:sz w:val="26"/>
          <w:szCs w:val="26"/>
          <w:lang w:val="el-GR"/>
        </w:rPr>
        <w:t xml:space="preserve">«Καθώς ήδη έχει αναφερθεί οι ενάγοντες που βασίζουν την αξίωσή τους εναντίον της εναγόμενης στον επίδικο λογαριασμό επί πιστώσει που τηρούσαν για τις συναλλαγές τους που είχαν μαζί της, απέτυχαν να αποδείξουν πλείστα όσα γεγονότα καταγράφονται σ' αυτό. Και αυτό, όχι μόνο επειδή και οι δύο μάρτυρές τους κρίθηκαν αναξιόπιστοι, αλλά και για τον επιπλέον λόγο ότι προέκυψε από τη μαρτυρία τους πως δεν ήταν γνώστες σημαντικών γεγονότων και στοιχείων που περιέχονται στις δύο καταστάσεις λογαριασμού που κατατέθηκαν στο Δικαστήριο, για σκοπούς θεμελίωσης της αξίωσης των εναγόντων. Στις εν λόγω καταστάσεις (τεκμήρια 4 και 77) περιέχονται στοιχεία θεμελιακά της επίδικης αξίωσης των εναγόντων, τα οποία και οι δύο μάρτυρές τους δεν ήταν σε θέση να στοιχειοθετήσουν είτε από προσωπική γνώση που είχαν γι' αυτά, είτε ακόμη, έστω με εξ ακοής μαρτυρία. </w:t>
      </w:r>
      <w:r w:rsidRPr="004A0D43">
        <w:rPr>
          <w:rFonts w:ascii="Bookman Old Style" w:hAnsi="Bookman Old Style" w:cs="Arial"/>
          <w:b/>
          <w:bCs/>
          <w:sz w:val="26"/>
          <w:szCs w:val="26"/>
          <w:lang w:val="el-GR"/>
        </w:rPr>
        <w:t>Για παράδειγμα υπάρχουν χρεώσεις δυνάμει τιμολογίων τα οποία, είτε είναι ανυπόγραφα από τον παραλήπτη των εμπορευμάτων είτε ακόμη κι αν είναι υπογραμμένα δεν έχει αποδειχθεί ότι είναι υπογραμμένα είτε από την εναγόμενη είτε από κάποιο άλλο εξουσιοδοτημένο από αυτή πρόσωπο και το ίδιο συμβαίνει και με αρκετά δελτία αποστολής εμπορευμάτων, χωρίς να μου διαφεύγει ότι αριθμός τιμολογίων δεν συνοδεύονται από δελτίο αποστολής. Ακόμη, τόσο ο διευθυντής των εναγόντων όσο και η εκ των υπευθύνων στο λογιστήριό τους δεν ήταν σε θέση να δηλώσουν με θετικό τρόπο ότι τα εμπορεύματα που αναφέρονται στα επίδικα τιμολόγια καθώς και στα σχετικά δελτία αποστολής - όπου υπάρχουν - παραδόθηκαν στην εναγόμενη ή παραλήφθηκαν από αυτή και σε τέτοια περίπτωση, εάν τοποθετήθηκαν στην επίδικη κατοικία της</w:t>
      </w:r>
      <w:r w:rsidRPr="00632211">
        <w:rPr>
          <w:rFonts w:ascii="Bookman Old Style" w:hAnsi="Bookman Old Style" w:cs="Arial"/>
          <w:sz w:val="26"/>
          <w:szCs w:val="26"/>
          <w:lang w:val="el-GR"/>
        </w:rPr>
        <w:t>».</w:t>
      </w:r>
      <w:r w:rsidR="00E70BA5" w:rsidRPr="00632211">
        <w:rPr>
          <w:rFonts w:ascii="Bookman Old Style" w:hAnsi="Bookman Old Style" w:cs="Arial"/>
          <w:sz w:val="26"/>
          <w:szCs w:val="26"/>
          <w:lang w:val="el-GR"/>
        </w:rPr>
        <w:t xml:space="preserve"> </w:t>
      </w:r>
    </w:p>
    <w:p w14:paraId="467C9D62" w14:textId="77777777" w:rsidR="004A0D43" w:rsidRDefault="004A0D43" w:rsidP="00291554">
      <w:pPr>
        <w:spacing w:line="276" w:lineRule="auto"/>
        <w:ind w:left="426" w:right="390"/>
        <w:jc w:val="both"/>
        <w:rPr>
          <w:rFonts w:ascii="Bookman Old Style" w:hAnsi="Bookman Old Style" w:cs="Arial"/>
          <w:sz w:val="26"/>
          <w:szCs w:val="26"/>
          <w:lang w:val="el-GR"/>
        </w:rPr>
      </w:pPr>
    </w:p>
    <w:p w14:paraId="04EFCDD5" w14:textId="7715327C" w:rsidR="004A0D43" w:rsidRDefault="004A0D43" w:rsidP="00291554">
      <w:pPr>
        <w:spacing w:line="276" w:lineRule="auto"/>
        <w:ind w:left="426" w:right="390"/>
        <w:jc w:val="both"/>
        <w:rPr>
          <w:rFonts w:ascii="Bookman Old Style" w:hAnsi="Bookman Old Style" w:cs="Arial"/>
          <w:lang w:val="el-GR"/>
        </w:rPr>
      </w:pPr>
      <w:r>
        <w:rPr>
          <w:rFonts w:ascii="Bookman Old Style" w:hAnsi="Bookman Old Style" w:cs="Arial"/>
          <w:sz w:val="26"/>
          <w:szCs w:val="26"/>
          <w:lang w:val="el-GR"/>
        </w:rPr>
        <w:t xml:space="preserve">                   </w:t>
      </w:r>
      <w:r w:rsidR="004D4609">
        <w:rPr>
          <w:rFonts w:ascii="Bookman Old Style" w:hAnsi="Bookman Old Style" w:cs="Arial"/>
          <w:sz w:val="26"/>
          <w:szCs w:val="26"/>
          <w:lang w:val="el-GR"/>
        </w:rPr>
        <w:t xml:space="preserve">  </w:t>
      </w:r>
      <w:r>
        <w:rPr>
          <w:rFonts w:ascii="Bookman Old Style" w:hAnsi="Bookman Old Style" w:cs="Arial"/>
          <w:sz w:val="26"/>
          <w:szCs w:val="26"/>
          <w:lang w:val="el-GR"/>
        </w:rPr>
        <w:t xml:space="preserve"> </w:t>
      </w:r>
      <w:r w:rsidRPr="004A0D43">
        <w:rPr>
          <w:rFonts w:ascii="Bookman Old Style" w:hAnsi="Bookman Old Style" w:cs="Arial"/>
          <w:lang w:val="el-GR"/>
        </w:rPr>
        <w:t>(Η έμφαση είναι του παρόντος Δικαστηρίου)</w:t>
      </w:r>
    </w:p>
    <w:p w14:paraId="00F4B4B0" w14:textId="77777777" w:rsidR="004D4609" w:rsidRPr="004A0D43" w:rsidRDefault="004D4609" w:rsidP="00291554">
      <w:pPr>
        <w:spacing w:line="276" w:lineRule="auto"/>
        <w:ind w:left="426" w:right="390"/>
        <w:jc w:val="both"/>
        <w:rPr>
          <w:rFonts w:ascii="Bookman Old Style" w:hAnsi="Bookman Old Style" w:cs="Arial"/>
          <w:lang w:val="el-GR"/>
        </w:rPr>
      </w:pPr>
    </w:p>
    <w:p w14:paraId="649A25EE" w14:textId="77777777" w:rsidR="00725D93" w:rsidRPr="004A0D43" w:rsidRDefault="00725D93" w:rsidP="00291554">
      <w:pPr>
        <w:spacing w:line="480" w:lineRule="auto"/>
        <w:ind w:right="-35"/>
        <w:jc w:val="both"/>
        <w:rPr>
          <w:rFonts w:ascii="Bookman Old Style" w:hAnsi="Bookman Old Style" w:cs="Arial"/>
          <w:lang w:val="el-GR"/>
        </w:rPr>
      </w:pPr>
    </w:p>
    <w:p w14:paraId="55210C99" w14:textId="4C7897DA" w:rsidR="00291554" w:rsidRPr="00291554" w:rsidRDefault="00632211" w:rsidP="00291554">
      <w:pPr>
        <w:pStyle w:val="apapaoi"/>
        <w:spacing w:line="480" w:lineRule="auto"/>
        <w:ind w:firstLine="0"/>
        <w:rPr>
          <w:rFonts w:ascii="Bookman Old Style" w:hAnsi="Bookman Old Style"/>
          <w:sz w:val="28"/>
          <w:szCs w:val="28"/>
        </w:rPr>
      </w:pPr>
      <w:r>
        <w:rPr>
          <w:rFonts w:ascii="Bookman Old Style" w:hAnsi="Bookman Old Style" w:cs="Arial"/>
          <w:sz w:val="28"/>
          <w:szCs w:val="28"/>
        </w:rPr>
        <w:t>Δεν διαπιστώνουμε οτιδήποτε το μεμπτό στην πιο πάνω αξιολόγηση</w:t>
      </w:r>
      <w:r w:rsidRPr="00291554">
        <w:rPr>
          <w:rFonts w:ascii="Bookman Old Style" w:hAnsi="Bookman Old Style" w:cs="Arial"/>
          <w:sz w:val="28"/>
          <w:szCs w:val="28"/>
        </w:rPr>
        <w:t>.</w:t>
      </w:r>
      <w:r w:rsidRPr="00632211">
        <w:rPr>
          <w:rFonts w:ascii="Bookman Old Style" w:hAnsi="Bookman Old Style" w:cs="Arial"/>
          <w:b/>
          <w:bCs/>
          <w:i/>
          <w:iCs/>
          <w:sz w:val="28"/>
          <w:szCs w:val="28"/>
        </w:rPr>
        <w:t xml:space="preserve">  </w:t>
      </w:r>
      <w:r w:rsidRPr="0040345F">
        <w:rPr>
          <w:rFonts w:ascii="Bookman Old Style" w:hAnsi="Bookman Old Style" w:cs="Arial"/>
          <w:sz w:val="28"/>
          <w:szCs w:val="28"/>
        </w:rPr>
        <w:t xml:space="preserve">Η </w:t>
      </w:r>
      <w:r w:rsidR="0040345F">
        <w:rPr>
          <w:rFonts w:ascii="Bookman Old Style" w:hAnsi="Bookman Old Style" w:cs="Arial"/>
          <w:sz w:val="28"/>
          <w:szCs w:val="28"/>
        </w:rPr>
        <w:t>υ</w:t>
      </w:r>
      <w:r w:rsidRPr="0040345F">
        <w:rPr>
          <w:rFonts w:ascii="Bookman Old Style" w:hAnsi="Bookman Old Style" w:cs="Arial"/>
          <w:sz w:val="28"/>
          <w:szCs w:val="28"/>
        </w:rPr>
        <w:t>πόθεση</w:t>
      </w:r>
      <w:r w:rsidRPr="00632211">
        <w:rPr>
          <w:rFonts w:ascii="Bookman Old Style" w:hAnsi="Bookman Old Style" w:cs="Arial"/>
          <w:b/>
          <w:bCs/>
          <w:i/>
          <w:iCs/>
          <w:sz w:val="28"/>
          <w:szCs w:val="28"/>
        </w:rPr>
        <w:t xml:space="preserve"> </w:t>
      </w:r>
      <w:proofErr w:type="spellStart"/>
      <w:r w:rsidRPr="00632211">
        <w:rPr>
          <w:rFonts w:ascii="Bookman Old Style" w:hAnsi="Bookman Old Style" w:cs="Arial"/>
          <w:b/>
          <w:bCs/>
          <w:i/>
          <w:iCs/>
          <w:sz w:val="28"/>
          <w:szCs w:val="28"/>
          <w:lang w:val="en-US"/>
        </w:rPr>
        <w:t>Demil</w:t>
      </w:r>
      <w:proofErr w:type="spellEnd"/>
      <w:r w:rsidRPr="00632211">
        <w:rPr>
          <w:rFonts w:ascii="Bookman Old Style" w:hAnsi="Bookman Old Style" w:cs="Arial"/>
          <w:b/>
          <w:bCs/>
          <w:i/>
          <w:iCs/>
          <w:sz w:val="28"/>
          <w:szCs w:val="28"/>
        </w:rPr>
        <w:t xml:space="preserve"> </w:t>
      </w:r>
      <w:r w:rsidRPr="00632211">
        <w:rPr>
          <w:rFonts w:ascii="Bookman Old Style" w:hAnsi="Bookman Old Style" w:cs="Arial"/>
          <w:b/>
          <w:bCs/>
          <w:i/>
          <w:iCs/>
          <w:sz w:val="28"/>
          <w:szCs w:val="28"/>
          <w:lang w:val="en-US"/>
        </w:rPr>
        <w:t>Imports</w:t>
      </w:r>
      <w:r w:rsidRPr="00632211">
        <w:rPr>
          <w:rFonts w:ascii="Bookman Old Style" w:hAnsi="Bookman Old Style" w:cs="Arial"/>
          <w:b/>
          <w:bCs/>
          <w:i/>
          <w:iCs/>
          <w:sz w:val="28"/>
          <w:szCs w:val="28"/>
        </w:rPr>
        <w:t xml:space="preserve"> </w:t>
      </w:r>
      <w:r w:rsidRPr="00632211">
        <w:rPr>
          <w:rFonts w:ascii="Bookman Old Style" w:hAnsi="Bookman Old Style" w:cs="Arial"/>
          <w:b/>
          <w:bCs/>
          <w:i/>
          <w:iCs/>
          <w:sz w:val="28"/>
          <w:szCs w:val="28"/>
          <w:lang w:val="en-US"/>
        </w:rPr>
        <w:t>Exports</w:t>
      </w:r>
      <w:r w:rsidRPr="00632211">
        <w:rPr>
          <w:rFonts w:ascii="Bookman Old Style" w:hAnsi="Bookman Old Style" w:cs="Arial"/>
          <w:b/>
          <w:bCs/>
          <w:i/>
          <w:iCs/>
          <w:sz w:val="28"/>
          <w:szCs w:val="28"/>
        </w:rPr>
        <w:t xml:space="preserve"> </w:t>
      </w:r>
      <w:r w:rsidRPr="00632211">
        <w:rPr>
          <w:rFonts w:ascii="Bookman Old Style" w:hAnsi="Bookman Old Style" w:cs="Arial"/>
          <w:b/>
          <w:bCs/>
          <w:i/>
          <w:iCs/>
          <w:sz w:val="28"/>
          <w:szCs w:val="28"/>
          <w:lang w:val="en-US"/>
        </w:rPr>
        <w:t>Ltd</w:t>
      </w:r>
      <w:r w:rsidRPr="00632211">
        <w:rPr>
          <w:rFonts w:ascii="Bookman Old Style" w:hAnsi="Bookman Old Style" w:cs="Arial"/>
          <w:b/>
          <w:bCs/>
          <w:i/>
          <w:iCs/>
          <w:sz w:val="28"/>
          <w:szCs w:val="28"/>
        </w:rPr>
        <w:t xml:space="preserve"> </w:t>
      </w:r>
      <w:r w:rsidRPr="00632211">
        <w:rPr>
          <w:rFonts w:ascii="Bookman Old Style" w:hAnsi="Bookman Old Style" w:cs="Arial"/>
          <w:b/>
          <w:bCs/>
          <w:i/>
          <w:iCs/>
          <w:sz w:val="28"/>
          <w:szCs w:val="28"/>
          <w:lang w:val="en-US"/>
        </w:rPr>
        <w:t>v</w:t>
      </w:r>
      <w:r w:rsidRPr="00632211">
        <w:rPr>
          <w:rFonts w:ascii="Bookman Old Style" w:hAnsi="Bookman Old Style" w:cs="Arial"/>
          <w:b/>
          <w:bCs/>
          <w:i/>
          <w:iCs/>
          <w:sz w:val="28"/>
          <w:szCs w:val="28"/>
        </w:rPr>
        <w:t xml:space="preserve">. Ζήνων Η. Κωνσταντινίδης </w:t>
      </w:r>
      <w:proofErr w:type="spellStart"/>
      <w:r w:rsidRPr="00632211">
        <w:rPr>
          <w:rFonts w:ascii="Bookman Old Style" w:hAnsi="Bookman Old Style" w:cs="Arial"/>
          <w:b/>
          <w:bCs/>
          <w:i/>
          <w:iCs/>
          <w:sz w:val="28"/>
          <w:szCs w:val="28"/>
        </w:rPr>
        <w:t>Λτδ</w:t>
      </w:r>
      <w:proofErr w:type="spellEnd"/>
      <w:r w:rsidRPr="00632211">
        <w:rPr>
          <w:rFonts w:ascii="Bookman Old Style" w:hAnsi="Bookman Old Style" w:cs="Arial"/>
          <w:b/>
          <w:bCs/>
          <w:i/>
          <w:iCs/>
          <w:sz w:val="28"/>
          <w:szCs w:val="28"/>
        </w:rPr>
        <w:t xml:space="preserve"> (2011) 1 Α.Α.Δ. 462</w:t>
      </w:r>
      <w:r>
        <w:rPr>
          <w:rFonts w:ascii="Bookman Old Style" w:hAnsi="Bookman Old Style" w:cs="Arial"/>
          <w:sz w:val="28"/>
          <w:szCs w:val="28"/>
        </w:rPr>
        <w:t xml:space="preserve">, την οποία επικαλέστηκε η πλευρά του </w:t>
      </w:r>
      <w:proofErr w:type="spellStart"/>
      <w:r>
        <w:rPr>
          <w:rFonts w:ascii="Bookman Old Style" w:hAnsi="Bookman Old Style" w:cs="Arial"/>
          <w:sz w:val="28"/>
          <w:szCs w:val="28"/>
        </w:rPr>
        <w:t>Εφεσείοντα</w:t>
      </w:r>
      <w:proofErr w:type="spellEnd"/>
      <w:r>
        <w:rPr>
          <w:rFonts w:ascii="Bookman Old Style" w:hAnsi="Bookman Old Style" w:cs="Arial"/>
          <w:sz w:val="28"/>
          <w:szCs w:val="28"/>
        </w:rPr>
        <w:t>, διαφοροποιείται επί των γεγονότων της. Στην υπόθεση εκείνη</w:t>
      </w:r>
      <w:r w:rsidR="00291554">
        <w:rPr>
          <w:rFonts w:ascii="Bookman Old Style" w:hAnsi="Bookman Old Style" w:cs="Arial"/>
          <w:sz w:val="28"/>
          <w:szCs w:val="28"/>
        </w:rPr>
        <w:t>,</w:t>
      </w:r>
      <w:r>
        <w:rPr>
          <w:rFonts w:ascii="Bookman Old Style" w:hAnsi="Bookman Old Style" w:cs="Arial"/>
          <w:sz w:val="28"/>
          <w:szCs w:val="28"/>
        </w:rPr>
        <w:t xml:space="preserve"> </w:t>
      </w:r>
      <w:r w:rsidR="00291554">
        <w:rPr>
          <w:rFonts w:ascii="Bookman Old Style" w:hAnsi="Bookman Old Style" w:cs="Arial"/>
          <w:sz w:val="28"/>
          <w:szCs w:val="28"/>
        </w:rPr>
        <w:t>η οποία αφορούσε αγωγή για υπόλοιπο λογαριασμού για πώληση και παράδοση εμπορευμάτων δυνάμει τιμολογίων και/ή στη βάση παραδεδεγμένου ή εκκαθαρισμένου λογαριασμού, υπήρχε μαρτυρία εκ μέρους των Εναγόντων/</w:t>
      </w:r>
      <w:proofErr w:type="spellStart"/>
      <w:r w:rsidR="00291554">
        <w:rPr>
          <w:rFonts w:ascii="Bookman Old Style" w:hAnsi="Bookman Old Style" w:cs="Arial"/>
          <w:sz w:val="28"/>
          <w:szCs w:val="28"/>
        </w:rPr>
        <w:t>Εφεσιβλήτων</w:t>
      </w:r>
      <w:proofErr w:type="spellEnd"/>
      <w:r w:rsidR="00291554">
        <w:rPr>
          <w:rFonts w:ascii="Bookman Old Style" w:hAnsi="Bookman Old Style" w:cs="Arial"/>
          <w:sz w:val="28"/>
          <w:szCs w:val="28"/>
        </w:rPr>
        <w:t xml:space="preserve"> ότι είχαν παραδώσει τα εμπορεύματα που αναφέρονταν στα τιμολόγια και δελτία μεταφοράς</w:t>
      </w:r>
      <w:r w:rsidR="0040345F">
        <w:rPr>
          <w:rFonts w:ascii="Bookman Old Style" w:hAnsi="Bookman Old Style" w:cs="Arial"/>
          <w:sz w:val="28"/>
          <w:szCs w:val="28"/>
        </w:rPr>
        <w:t>,</w:t>
      </w:r>
      <w:r w:rsidR="00291554">
        <w:rPr>
          <w:rFonts w:ascii="Bookman Old Style" w:hAnsi="Bookman Old Style" w:cs="Arial"/>
          <w:sz w:val="28"/>
          <w:szCs w:val="28"/>
        </w:rPr>
        <w:t xml:space="preserve"> η οποία</w:t>
      </w:r>
      <w:r w:rsidR="004A0D43">
        <w:rPr>
          <w:rFonts w:ascii="Bookman Old Style" w:hAnsi="Bookman Old Style" w:cs="Arial"/>
          <w:sz w:val="28"/>
          <w:szCs w:val="28"/>
        </w:rPr>
        <w:t xml:space="preserve"> μαρτυρία</w:t>
      </w:r>
      <w:r w:rsidR="00291554">
        <w:rPr>
          <w:rFonts w:ascii="Bookman Old Style" w:hAnsi="Bookman Old Style" w:cs="Arial"/>
          <w:sz w:val="28"/>
          <w:szCs w:val="28"/>
        </w:rPr>
        <w:t xml:space="preserve"> κρίθηκε αξιόπιστη. Είναι στο πλαίσιο αυτό που είχε λεχθεί από το Δικαστήριο στην υπόθεση </w:t>
      </w:r>
      <w:proofErr w:type="spellStart"/>
      <w:r w:rsidR="00291554" w:rsidRPr="00632211">
        <w:rPr>
          <w:rFonts w:ascii="Bookman Old Style" w:hAnsi="Bookman Old Style" w:cs="Arial"/>
          <w:b/>
          <w:bCs/>
          <w:i/>
          <w:iCs/>
          <w:sz w:val="28"/>
          <w:szCs w:val="28"/>
          <w:lang w:val="en-US"/>
        </w:rPr>
        <w:t>Demil</w:t>
      </w:r>
      <w:proofErr w:type="spellEnd"/>
      <w:r w:rsidR="00291554" w:rsidRPr="00632211">
        <w:rPr>
          <w:rFonts w:ascii="Bookman Old Style" w:hAnsi="Bookman Old Style" w:cs="Arial"/>
          <w:b/>
          <w:bCs/>
          <w:i/>
          <w:iCs/>
          <w:sz w:val="28"/>
          <w:szCs w:val="28"/>
        </w:rPr>
        <w:t xml:space="preserve"> </w:t>
      </w:r>
      <w:r w:rsidR="00291554" w:rsidRPr="00632211">
        <w:rPr>
          <w:rFonts w:ascii="Bookman Old Style" w:hAnsi="Bookman Old Style" w:cs="Arial"/>
          <w:b/>
          <w:bCs/>
          <w:i/>
          <w:iCs/>
          <w:sz w:val="28"/>
          <w:szCs w:val="28"/>
          <w:lang w:val="en-US"/>
        </w:rPr>
        <w:t>Imports</w:t>
      </w:r>
      <w:r w:rsidR="00291554" w:rsidRPr="00632211">
        <w:rPr>
          <w:rFonts w:ascii="Bookman Old Style" w:hAnsi="Bookman Old Style" w:cs="Arial"/>
          <w:b/>
          <w:bCs/>
          <w:i/>
          <w:iCs/>
          <w:sz w:val="28"/>
          <w:szCs w:val="28"/>
        </w:rPr>
        <w:t xml:space="preserve"> </w:t>
      </w:r>
      <w:r w:rsidR="00291554" w:rsidRPr="00632211">
        <w:rPr>
          <w:rFonts w:ascii="Bookman Old Style" w:hAnsi="Bookman Old Style" w:cs="Arial"/>
          <w:b/>
          <w:bCs/>
          <w:i/>
          <w:iCs/>
          <w:sz w:val="28"/>
          <w:szCs w:val="28"/>
          <w:lang w:val="en-US"/>
        </w:rPr>
        <w:t>Exports</w:t>
      </w:r>
      <w:r w:rsidR="00291554" w:rsidRPr="00632211">
        <w:rPr>
          <w:rFonts w:ascii="Bookman Old Style" w:hAnsi="Bookman Old Style" w:cs="Arial"/>
          <w:b/>
          <w:bCs/>
          <w:i/>
          <w:iCs/>
          <w:sz w:val="28"/>
          <w:szCs w:val="28"/>
        </w:rPr>
        <w:t xml:space="preserve"> </w:t>
      </w:r>
      <w:r w:rsidR="00291554" w:rsidRPr="00632211">
        <w:rPr>
          <w:rFonts w:ascii="Bookman Old Style" w:hAnsi="Bookman Old Style" w:cs="Arial"/>
          <w:b/>
          <w:bCs/>
          <w:i/>
          <w:iCs/>
          <w:sz w:val="28"/>
          <w:szCs w:val="28"/>
          <w:lang w:val="en-US"/>
        </w:rPr>
        <w:t>Ltd</w:t>
      </w:r>
      <w:r w:rsidR="00291554" w:rsidRPr="00291554">
        <w:rPr>
          <w:rFonts w:ascii="Bookman Old Style" w:hAnsi="Bookman Old Style" w:cs="Arial"/>
          <w:b/>
          <w:bCs/>
          <w:i/>
          <w:iCs/>
          <w:sz w:val="28"/>
          <w:szCs w:val="28"/>
        </w:rPr>
        <w:t xml:space="preserve"> </w:t>
      </w:r>
      <w:r w:rsidR="00291554" w:rsidRPr="00291554">
        <w:rPr>
          <w:rFonts w:ascii="Bookman Old Style" w:hAnsi="Bookman Old Style" w:cs="Arial"/>
          <w:sz w:val="28"/>
          <w:szCs w:val="28"/>
        </w:rPr>
        <w:t>(</w:t>
      </w:r>
      <w:r w:rsidR="00291554">
        <w:rPr>
          <w:rFonts w:ascii="Bookman Old Style" w:hAnsi="Bookman Old Style" w:cs="Arial"/>
          <w:sz w:val="28"/>
          <w:szCs w:val="28"/>
        </w:rPr>
        <w:t>ανωτέρω) ότι</w:t>
      </w:r>
      <w:r w:rsidR="00291554">
        <w:rPr>
          <w:rFonts w:ascii="Bookman Old Style" w:hAnsi="Bookman Old Style" w:cs="Arial"/>
          <w:b/>
          <w:bCs/>
          <w:i/>
          <w:iCs/>
          <w:sz w:val="28"/>
          <w:szCs w:val="28"/>
        </w:rPr>
        <w:t xml:space="preserve"> «</w:t>
      </w:r>
      <w:r w:rsidR="00291554" w:rsidRPr="00291554">
        <w:rPr>
          <w:rFonts w:ascii="Bookman Old Style" w:hAnsi="Bookman Old Style"/>
          <w:i/>
          <w:iCs/>
          <w:sz w:val="28"/>
          <w:szCs w:val="28"/>
        </w:rPr>
        <w:t xml:space="preserve">Εφόσον η μαρτυρία για τους εφεσίβλητους ήταν ότι παρέδωσαν τα εν λόγω εμπορεύματα, δεν ήταν αναγκαία η περαιτέρω απόδειξη της παράδοσης των εμπορευμάτων. Το γεγονός ότι τα αμφισβητούμενα δελτία μεταφοράς και τιμολόγια δεν φέρουν την υπογραφή των </w:t>
      </w:r>
      <w:proofErr w:type="spellStart"/>
      <w:r w:rsidR="00291554" w:rsidRPr="00291554">
        <w:rPr>
          <w:rFonts w:ascii="Bookman Old Style" w:hAnsi="Bookman Old Style"/>
          <w:i/>
          <w:iCs/>
          <w:sz w:val="28"/>
          <w:szCs w:val="28"/>
        </w:rPr>
        <w:t>εφεσειόντων</w:t>
      </w:r>
      <w:proofErr w:type="spellEnd"/>
      <w:r w:rsidR="00291554" w:rsidRPr="00291554">
        <w:rPr>
          <w:rFonts w:ascii="Bookman Old Style" w:hAnsi="Bookman Old Style"/>
          <w:i/>
          <w:iCs/>
          <w:sz w:val="28"/>
          <w:szCs w:val="28"/>
        </w:rPr>
        <w:t xml:space="preserve"> δεν επηρεάζει την ουσία της υπόθεσης, εφόσον το Δικαστήριο έκρινε ως αξιόπιστους τους μάρτυρες των </w:t>
      </w:r>
      <w:proofErr w:type="spellStart"/>
      <w:r w:rsidR="00291554" w:rsidRPr="00291554">
        <w:rPr>
          <w:rFonts w:ascii="Bookman Old Style" w:hAnsi="Bookman Old Style"/>
          <w:i/>
          <w:iCs/>
          <w:sz w:val="28"/>
          <w:szCs w:val="28"/>
        </w:rPr>
        <w:t>εφεσιβλήτων</w:t>
      </w:r>
      <w:proofErr w:type="spellEnd"/>
      <w:r w:rsidR="00291554" w:rsidRPr="00291554">
        <w:rPr>
          <w:rFonts w:ascii="Bookman Old Style" w:hAnsi="Bookman Old Style"/>
          <w:i/>
          <w:iCs/>
          <w:sz w:val="28"/>
          <w:szCs w:val="28"/>
        </w:rPr>
        <w:t>. (</w:t>
      </w:r>
      <w:r w:rsidR="00291554" w:rsidRPr="00291554">
        <w:rPr>
          <w:rFonts w:ascii="Bookman Old Style" w:hAnsi="Bookman Old Style"/>
          <w:b/>
          <w:bCs/>
          <w:i/>
          <w:iCs/>
          <w:sz w:val="28"/>
          <w:szCs w:val="28"/>
        </w:rPr>
        <w:t xml:space="preserve">Χριστοδουλίδου v. </w:t>
      </w:r>
      <w:proofErr w:type="spellStart"/>
      <w:r w:rsidR="00291554" w:rsidRPr="00291554">
        <w:rPr>
          <w:rFonts w:ascii="Bookman Old Style" w:hAnsi="Bookman Old Style"/>
          <w:b/>
          <w:bCs/>
          <w:i/>
          <w:iCs/>
          <w:sz w:val="28"/>
          <w:szCs w:val="28"/>
        </w:rPr>
        <w:t>Μocassino</w:t>
      </w:r>
      <w:proofErr w:type="spellEnd"/>
      <w:r w:rsidR="00291554" w:rsidRPr="00291554">
        <w:rPr>
          <w:rFonts w:ascii="Bookman Old Style" w:hAnsi="Bookman Old Style"/>
          <w:b/>
          <w:bCs/>
          <w:i/>
          <w:iCs/>
          <w:sz w:val="28"/>
          <w:szCs w:val="28"/>
        </w:rPr>
        <w:t xml:space="preserve"> </w:t>
      </w:r>
      <w:proofErr w:type="spellStart"/>
      <w:r w:rsidR="00291554" w:rsidRPr="00291554">
        <w:rPr>
          <w:rFonts w:ascii="Bookman Old Style" w:hAnsi="Bookman Old Style"/>
          <w:b/>
          <w:bCs/>
          <w:i/>
          <w:iCs/>
          <w:sz w:val="28"/>
          <w:szCs w:val="28"/>
        </w:rPr>
        <w:t>Shoes</w:t>
      </w:r>
      <w:proofErr w:type="spellEnd"/>
      <w:r w:rsidR="00291554" w:rsidRPr="00291554">
        <w:rPr>
          <w:rFonts w:ascii="Bookman Old Style" w:hAnsi="Bookman Old Style"/>
          <w:b/>
          <w:bCs/>
          <w:i/>
          <w:iCs/>
          <w:sz w:val="28"/>
          <w:szCs w:val="28"/>
        </w:rPr>
        <w:t xml:space="preserve"> </w:t>
      </w:r>
      <w:proofErr w:type="spellStart"/>
      <w:r w:rsidR="00291554" w:rsidRPr="00291554">
        <w:rPr>
          <w:rFonts w:ascii="Bookman Old Style" w:hAnsi="Bookman Old Style"/>
          <w:b/>
          <w:bCs/>
          <w:i/>
          <w:iCs/>
          <w:sz w:val="28"/>
          <w:szCs w:val="28"/>
        </w:rPr>
        <w:t>Ltd</w:t>
      </w:r>
      <w:proofErr w:type="spellEnd"/>
      <w:r w:rsidR="00291554" w:rsidRPr="00291554">
        <w:rPr>
          <w:rFonts w:ascii="Bookman Old Style" w:hAnsi="Bookman Old Style"/>
          <w:b/>
          <w:bCs/>
          <w:i/>
          <w:iCs/>
          <w:sz w:val="28"/>
          <w:szCs w:val="28"/>
        </w:rPr>
        <w:t xml:space="preserve"> (2006) 1(A) Α.Α.Δ. 294</w:t>
      </w:r>
      <w:r w:rsidR="00291554" w:rsidRPr="00291554">
        <w:rPr>
          <w:rFonts w:ascii="Bookman Old Style" w:hAnsi="Bookman Old Style"/>
          <w:i/>
          <w:iCs/>
          <w:sz w:val="28"/>
          <w:szCs w:val="28"/>
        </w:rPr>
        <w:t>)</w:t>
      </w:r>
      <w:r w:rsidR="00291554" w:rsidRPr="00291554">
        <w:rPr>
          <w:rFonts w:ascii="Bookman Old Style" w:hAnsi="Bookman Old Style"/>
          <w:sz w:val="28"/>
          <w:szCs w:val="28"/>
        </w:rPr>
        <w:t>.</w:t>
      </w:r>
      <w:r w:rsidR="00291554">
        <w:rPr>
          <w:rFonts w:ascii="Bookman Old Style" w:hAnsi="Bookman Old Style"/>
          <w:sz w:val="28"/>
          <w:szCs w:val="28"/>
        </w:rPr>
        <w:t>»</w:t>
      </w:r>
    </w:p>
    <w:p w14:paraId="4404A81B" w14:textId="6FED1BED" w:rsidR="00442187" w:rsidRPr="00725D93" w:rsidRDefault="00442187" w:rsidP="00632211">
      <w:pPr>
        <w:spacing w:line="480" w:lineRule="auto"/>
        <w:ind w:right="-35"/>
        <w:jc w:val="both"/>
        <w:rPr>
          <w:rFonts w:ascii="Bookman Old Style" w:hAnsi="Bookman Old Style" w:cs="Arial"/>
          <w:sz w:val="28"/>
          <w:szCs w:val="28"/>
          <w:lang w:val="el-GR"/>
        </w:rPr>
      </w:pPr>
    </w:p>
    <w:p w14:paraId="49EA095A" w14:textId="38496929" w:rsidR="00442187" w:rsidRDefault="00725D93" w:rsidP="00632211">
      <w:pPr>
        <w:spacing w:line="480" w:lineRule="auto"/>
        <w:ind w:right="-35"/>
        <w:jc w:val="both"/>
        <w:rPr>
          <w:rFonts w:ascii="Bookman Old Style" w:hAnsi="Bookman Old Style"/>
          <w:sz w:val="28"/>
          <w:szCs w:val="28"/>
          <w:lang w:val="el-GR"/>
        </w:rPr>
      </w:pPr>
      <w:r w:rsidRPr="00FB715D">
        <w:rPr>
          <w:rFonts w:ascii="Bookman Old Style" w:hAnsi="Bookman Old Style" w:cs="Arial"/>
          <w:sz w:val="28"/>
          <w:szCs w:val="28"/>
          <w:lang w:val="el-GR"/>
        </w:rPr>
        <w:t xml:space="preserve">Ούτε μπορεί να γίνεται λόγος </w:t>
      </w:r>
      <w:r w:rsidR="0016479C" w:rsidRPr="00FB715D">
        <w:rPr>
          <w:rFonts w:ascii="Bookman Old Style" w:hAnsi="Bookman Old Style" w:cs="Arial"/>
          <w:sz w:val="28"/>
          <w:szCs w:val="28"/>
          <w:lang w:val="el-GR"/>
        </w:rPr>
        <w:t>για «</w:t>
      </w:r>
      <w:r w:rsidR="0016479C" w:rsidRPr="0040345F">
        <w:rPr>
          <w:rFonts w:ascii="Bookman Old Style" w:hAnsi="Bookman Old Style" w:cs="Arial"/>
          <w:i/>
          <w:iCs/>
          <w:sz w:val="28"/>
          <w:szCs w:val="28"/>
          <w:lang w:val="el-GR"/>
        </w:rPr>
        <w:t>παραδοχές</w:t>
      </w:r>
      <w:r w:rsidR="0016479C" w:rsidRPr="00FB715D">
        <w:rPr>
          <w:rFonts w:ascii="Bookman Old Style" w:hAnsi="Bookman Old Style" w:cs="Arial"/>
          <w:sz w:val="28"/>
          <w:szCs w:val="28"/>
          <w:lang w:val="el-GR"/>
        </w:rPr>
        <w:t xml:space="preserve">» της Εφεσίβλητης με δεδομένη την απόρριψη της μαρτυρίας της ως αναξιόπιστης. </w:t>
      </w:r>
      <w:r w:rsidR="00FB715D" w:rsidRPr="00FB715D">
        <w:rPr>
          <w:rFonts w:ascii="Bookman Old Style" w:hAnsi="Bookman Old Style" w:cs="Arial"/>
          <w:sz w:val="28"/>
          <w:szCs w:val="28"/>
          <w:lang w:val="el-GR"/>
        </w:rPr>
        <w:t>Όπως ορθώς επισημαίνεται από πλευράς Εφεσίβλητης, αναξιόπιστη μαρτυρία δεν αποτελεί αποδεικτικό υλικό, ούτε αποδεικνύει οτιδήποτε.</w:t>
      </w:r>
      <w:r w:rsidR="00202454">
        <w:rPr>
          <w:rFonts w:ascii="Bookman Old Style" w:hAnsi="Bookman Old Style" w:cs="Arial"/>
          <w:sz w:val="28"/>
          <w:szCs w:val="28"/>
          <w:lang w:val="el-GR"/>
        </w:rPr>
        <w:t xml:space="preserve"> Από τη στιγμή δε που</w:t>
      </w:r>
      <w:r w:rsidR="00F96271">
        <w:rPr>
          <w:rFonts w:ascii="Bookman Old Style" w:hAnsi="Bookman Old Style" w:cs="Arial"/>
          <w:sz w:val="28"/>
          <w:szCs w:val="28"/>
          <w:lang w:val="el-GR"/>
        </w:rPr>
        <w:t xml:space="preserve"> </w:t>
      </w:r>
      <w:r w:rsidR="00202454">
        <w:rPr>
          <w:rFonts w:ascii="Bookman Old Style" w:hAnsi="Bookman Old Style" w:cs="Arial"/>
          <w:sz w:val="28"/>
          <w:szCs w:val="28"/>
          <w:lang w:val="el-GR"/>
        </w:rPr>
        <w:t>η ίδια η μαρτυρία των Μ.Ε.1 και Μ.Ε.2</w:t>
      </w:r>
      <w:r w:rsidR="00F96271">
        <w:rPr>
          <w:rFonts w:ascii="Bookman Old Style" w:hAnsi="Bookman Old Style" w:cs="Arial"/>
          <w:sz w:val="28"/>
          <w:szCs w:val="28"/>
          <w:lang w:val="el-GR"/>
        </w:rPr>
        <w:t xml:space="preserve"> που προσκόμισε η </w:t>
      </w:r>
      <w:proofErr w:type="spellStart"/>
      <w:r w:rsidR="00F96271">
        <w:rPr>
          <w:rFonts w:ascii="Bookman Old Style" w:hAnsi="Bookman Old Style" w:cs="Arial"/>
          <w:sz w:val="28"/>
          <w:szCs w:val="28"/>
          <w:lang w:val="el-GR"/>
        </w:rPr>
        <w:t>Εφεσείουσα</w:t>
      </w:r>
      <w:proofErr w:type="spellEnd"/>
      <w:r w:rsidR="00F96271">
        <w:rPr>
          <w:rFonts w:ascii="Bookman Old Style" w:hAnsi="Bookman Old Style" w:cs="Arial"/>
          <w:sz w:val="28"/>
          <w:szCs w:val="28"/>
          <w:lang w:val="el-GR"/>
        </w:rPr>
        <w:t>, η οποία έφερε και το βάρος απόδειξης της υπόθεσης της,</w:t>
      </w:r>
      <w:r w:rsidR="00202454">
        <w:rPr>
          <w:rFonts w:ascii="Bookman Old Style" w:hAnsi="Bookman Old Style" w:cs="Arial"/>
          <w:sz w:val="28"/>
          <w:szCs w:val="28"/>
          <w:lang w:val="el-GR"/>
        </w:rPr>
        <w:t xml:space="preserve"> </w:t>
      </w:r>
      <w:proofErr w:type="spellStart"/>
      <w:r w:rsidR="00202454">
        <w:rPr>
          <w:rFonts w:ascii="Bookman Old Style" w:hAnsi="Bookman Old Style" w:cs="Arial"/>
          <w:sz w:val="28"/>
          <w:szCs w:val="28"/>
          <w:lang w:val="el-GR"/>
        </w:rPr>
        <w:t>απερρίφθη</w:t>
      </w:r>
      <w:proofErr w:type="spellEnd"/>
      <w:r w:rsidR="00202454">
        <w:rPr>
          <w:rFonts w:ascii="Bookman Old Style" w:hAnsi="Bookman Old Style" w:cs="Arial"/>
          <w:sz w:val="28"/>
          <w:szCs w:val="28"/>
          <w:lang w:val="el-GR"/>
        </w:rPr>
        <w:t xml:space="preserve"> ως αναξιόπιστη</w:t>
      </w:r>
      <w:r w:rsidR="00F96271">
        <w:rPr>
          <w:rFonts w:ascii="Bookman Old Style" w:hAnsi="Bookman Old Style" w:cs="Arial"/>
          <w:sz w:val="28"/>
          <w:szCs w:val="28"/>
          <w:lang w:val="el-GR"/>
        </w:rPr>
        <w:t>,</w:t>
      </w:r>
      <w:r w:rsidR="00202454">
        <w:rPr>
          <w:rFonts w:ascii="Bookman Old Style" w:hAnsi="Bookman Old Style" w:cs="Arial"/>
          <w:sz w:val="28"/>
          <w:szCs w:val="28"/>
          <w:lang w:val="el-GR"/>
        </w:rPr>
        <w:t xml:space="preserve"> τα όσα είχε αναφέρει η Εφεσίβλητη στο πλαίσιο της δικής της μαρτυρίας </w:t>
      </w:r>
      <w:r w:rsidR="00F96271">
        <w:rPr>
          <w:rFonts w:ascii="Bookman Old Style" w:hAnsi="Bookman Old Style" w:cs="Arial"/>
          <w:sz w:val="28"/>
          <w:szCs w:val="28"/>
          <w:lang w:val="el-GR"/>
        </w:rPr>
        <w:t xml:space="preserve">δεν θα μπορούσαν να περισώσουν την υπόθεση για την </w:t>
      </w:r>
      <w:proofErr w:type="spellStart"/>
      <w:r w:rsidR="00F96271">
        <w:rPr>
          <w:rFonts w:ascii="Bookman Old Style" w:hAnsi="Bookman Old Style" w:cs="Arial"/>
          <w:sz w:val="28"/>
          <w:szCs w:val="28"/>
          <w:lang w:val="el-GR"/>
        </w:rPr>
        <w:t>Εφεσείουσα</w:t>
      </w:r>
      <w:proofErr w:type="spellEnd"/>
      <w:r w:rsidR="00F96271">
        <w:rPr>
          <w:rFonts w:ascii="Bookman Old Style" w:hAnsi="Bookman Old Style" w:cs="Arial"/>
          <w:sz w:val="28"/>
          <w:szCs w:val="28"/>
          <w:lang w:val="el-GR"/>
        </w:rPr>
        <w:t xml:space="preserve">. </w:t>
      </w:r>
      <w:r w:rsidR="00FB715D">
        <w:rPr>
          <w:rFonts w:ascii="Bookman Old Style" w:hAnsi="Bookman Old Style" w:cs="Arial"/>
          <w:sz w:val="28"/>
          <w:szCs w:val="28"/>
          <w:lang w:val="el-GR"/>
        </w:rPr>
        <w:t xml:space="preserve">Όπως επισημάνθηκε </w:t>
      </w:r>
      <w:r w:rsidR="00FB715D" w:rsidRPr="00FB715D">
        <w:rPr>
          <w:rFonts w:ascii="Bookman Old Style" w:hAnsi="Bookman Old Style" w:cs="Arial"/>
          <w:sz w:val="28"/>
          <w:szCs w:val="28"/>
          <w:lang w:val="el-GR"/>
        </w:rPr>
        <w:t xml:space="preserve">στην υπόθεση </w:t>
      </w:r>
      <w:r w:rsidR="00FB715D" w:rsidRPr="00FB715D">
        <w:rPr>
          <w:rFonts w:ascii="Bookman Old Style" w:hAnsi="Bookman Old Style" w:cs="Arial"/>
          <w:b/>
          <w:bCs/>
          <w:i/>
          <w:iCs/>
          <w:sz w:val="28"/>
          <w:szCs w:val="28"/>
          <w:lang w:val="en-US"/>
        </w:rPr>
        <w:t>Thesis</w:t>
      </w:r>
      <w:r w:rsidR="00FB715D" w:rsidRPr="00FB715D">
        <w:rPr>
          <w:rFonts w:ascii="Bookman Old Style" w:hAnsi="Bookman Old Style" w:cs="Arial"/>
          <w:b/>
          <w:bCs/>
          <w:i/>
          <w:iCs/>
          <w:sz w:val="28"/>
          <w:szCs w:val="28"/>
          <w:lang w:val="el-GR"/>
        </w:rPr>
        <w:t xml:space="preserve"> </w:t>
      </w:r>
      <w:r w:rsidR="00FB715D" w:rsidRPr="00FB715D">
        <w:rPr>
          <w:rFonts w:ascii="Bookman Old Style" w:hAnsi="Bookman Old Style" w:cs="Arial"/>
          <w:b/>
          <w:bCs/>
          <w:i/>
          <w:iCs/>
          <w:sz w:val="28"/>
          <w:szCs w:val="28"/>
          <w:lang w:val="en-US"/>
        </w:rPr>
        <w:t>Trading</w:t>
      </w:r>
      <w:r w:rsidR="00FB715D" w:rsidRPr="00FB715D">
        <w:rPr>
          <w:rFonts w:ascii="Bookman Old Style" w:hAnsi="Bookman Old Style" w:cs="Arial"/>
          <w:b/>
          <w:bCs/>
          <w:i/>
          <w:iCs/>
          <w:sz w:val="28"/>
          <w:szCs w:val="28"/>
          <w:lang w:val="el-GR"/>
        </w:rPr>
        <w:t xml:space="preserve"> </w:t>
      </w:r>
      <w:r w:rsidR="00FB715D" w:rsidRPr="00FB715D">
        <w:rPr>
          <w:rFonts w:ascii="Bookman Old Style" w:hAnsi="Bookman Old Style" w:cs="Arial"/>
          <w:b/>
          <w:bCs/>
          <w:i/>
          <w:iCs/>
          <w:sz w:val="28"/>
          <w:szCs w:val="28"/>
          <w:lang w:val="en-US"/>
        </w:rPr>
        <w:t>Co</w:t>
      </w:r>
      <w:r w:rsidR="00FB715D" w:rsidRPr="00FB715D">
        <w:rPr>
          <w:rFonts w:ascii="Bookman Old Style" w:hAnsi="Bookman Old Style" w:cs="Arial"/>
          <w:b/>
          <w:bCs/>
          <w:i/>
          <w:iCs/>
          <w:sz w:val="28"/>
          <w:szCs w:val="28"/>
          <w:lang w:val="el-GR"/>
        </w:rPr>
        <w:t xml:space="preserve">. </w:t>
      </w:r>
      <w:r w:rsidR="00FB715D" w:rsidRPr="00FB715D">
        <w:rPr>
          <w:rFonts w:ascii="Bookman Old Style" w:hAnsi="Bookman Old Style" w:cs="Arial"/>
          <w:b/>
          <w:bCs/>
          <w:i/>
          <w:iCs/>
          <w:sz w:val="28"/>
          <w:szCs w:val="28"/>
          <w:lang w:val="en-US"/>
        </w:rPr>
        <w:t>Ltd</w:t>
      </w:r>
      <w:r w:rsidR="00FB715D" w:rsidRPr="00FB715D">
        <w:rPr>
          <w:rFonts w:ascii="Bookman Old Style" w:hAnsi="Bookman Old Style" w:cs="Arial"/>
          <w:b/>
          <w:bCs/>
          <w:i/>
          <w:iCs/>
          <w:sz w:val="28"/>
          <w:szCs w:val="28"/>
          <w:lang w:val="el-GR"/>
        </w:rPr>
        <w:t xml:space="preserve"> </w:t>
      </w:r>
      <w:r w:rsidR="00FB715D" w:rsidRPr="00FB715D">
        <w:rPr>
          <w:rFonts w:ascii="Bookman Old Style" w:hAnsi="Bookman Old Style" w:cs="Arial"/>
          <w:b/>
          <w:bCs/>
          <w:i/>
          <w:iCs/>
          <w:sz w:val="28"/>
          <w:szCs w:val="28"/>
          <w:lang w:val="en-US"/>
        </w:rPr>
        <w:t>v</w:t>
      </w:r>
      <w:r w:rsidR="00FB715D" w:rsidRPr="00FB715D">
        <w:rPr>
          <w:rFonts w:ascii="Bookman Old Style" w:hAnsi="Bookman Old Style" w:cs="Arial"/>
          <w:b/>
          <w:bCs/>
          <w:i/>
          <w:iCs/>
          <w:sz w:val="28"/>
          <w:szCs w:val="28"/>
          <w:lang w:val="el-GR"/>
        </w:rPr>
        <w:t xml:space="preserve">. Δήμος Λάρνακας, Πολιτική Έφεση </w:t>
      </w:r>
      <w:proofErr w:type="spellStart"/>
      <w:r w:rsidR="00A9681C">
        <w:rPr>
          <w:rFonts w:ascii="Bookman Old Style" w:hAnsi="Bookman Old Style" w:cs="Arial"/>
          <w:b/>
          <w:bCs/>
          <w:i/>
          <w:iCs/>
          <w:sz w:val="28"/>
          <w:szCs w:val="28"/>
          <w:lang w:val="el-GR"/>
        </w:rPr>
        <w:t>Α</w:t>
      </w:r>
      <w:r w:rsidR="00FB715D" w:rsidRPr="00FB715D">
        <w:rPr>
          <w:rFonts w:ascii="Bookman Old Style" w:hAnsi="Bookman Old Style" w:cs="Arial"/>
          <w:b/>
          <w:bCs/>
          <w:i/>
          <w:iCs/>
          <w:sz w:val="28"/>
          <w:szCs w:val="28"/>
          <w:lang w:val="el-GR"/>
        </w:rPr>
        <w:t>ρ</w:t>
      </w:r>
      <w:proofErr w:type="spellEnd"/>
      <w:r w:rsidR="00FB715D" w:rsidRPr="00FB715D">
        <w:rPr>
          <w:rFonts w:ascii="Bookman Old Style" w:hAnsi="Bookman Old Style" w:cs="Arial"/>
          <w:b/>
          <w:bCs/>
          <w:i/>
          <w:iCs/>
          <w:sz w:val="28"/>
          <w:szCs w:val="28"/>
          <w:lang w:val="el-GR"/>
        </w:rPr>
        <w:t xml:space="preserve">. 388/2010, </w:t>
      </w:r>
      <w:proofErr w:type="spellStart"/>
      <w:r w:rsidR="00FB715D" w:rsidRPr="00FB715D">
        <w:rPr>
          <w:rFonts w:ascii="Bookman Old Style" w:hAnsi="Bookman Old Style" w:cs="Arial"/>
          <w:b/>
          <w:bCs/>
          <w:i/>
          <w:iCs/>
          <w:sz w:val="28"/>
          <w:szCs w:val="28"/>
          <w:lang w:val="el-GR"/>
        </w:rPr>
        <w:t>ημερ</w:t>
      </w:r>
      <w:proofErr w:type="spellEnd"/>
      <w:r w:rsidR="00FB715D" w:rsidRPr="00FB715D">
        <w:rPr>
          <w:rFonts w:ascii="Bookman Old Style" w:hAnsi="Bookman Old Style" w:cs="Arial"/>
          <w:b/>
          <w:bCs/>
          <w:i/>
          <w:iCs/>
          <w:sz w:val="28"/>
          <w:szCs w:val="28"/>
          <w:lang w:val="el-GR"/>
        </w:rPr>
        <w:t>. 23/6/2016</w:t>
      </w:r>
      <w:r w:rsidR="00FB715D">
        <w:rPr>
          <w:rFonts w:ascii="Bookman Old Style" w:hAnsi="Bookman Old Style" w:cs="Arial"/>
          <w:sz w:val="28"/>
          <w:szCs w:val="28"/>
          <w:lang w:val="el-GR"/>
        </w:rPr>
        <w:t xml:space="preserve">: </w:t>
      </w:r>
      <w:r w:rsidR="00FB715D" w:rsidRPr="00202454">
        <w:rPr>
          <w:rFonts w:ascii="Bookman Old Style" w:hAnsi="Bookman Old Style" w:cs="Arial"/>
          <w:sz w:val="28"/>
          <w:szCs w:val="28"/>
          <w:lang w:val="el-GR"/>
        </w:rPr>
        <w:t>«</w:t>
      </w:r>
      <w:r w:rsidR="00FB715D" w:rsidRPr="00202454">
        <w:rPr>
          <w:rFonts w:ascii="Bookman Old Style" w:hAnsi="Bookman Old Style"/>
          <w:i/>
          <w:iCs/>
          <w:sz w:val="28"/>
          <w:szCs w:val="28"/>
          <w:lang w:val="el-GR"/>
        </w:rPr>
        <w:t xml:space="preserve">Η μαρτυρία του ΜΕ1 απορρίφθηκε ως αναξιόπιστη. Τούτων δοθέντων η υπόθεση δεν περισώζεται ούτε με τις εν μέρει, όπως θεωρεί ο συνήγορος των </w:t>
      </w:r>
      <w:proofErr w:type="spellStart"/>
      <w:r w:rsidR="00FB715D" w:rsidRPr="00202454">
        <w:rPr>
          <w:rFonts w:ascii="Bookman Old Style" w:hAnsi="Bookman Old Style"/>
          <w:i/>
          <w:iCs/>
          <w:sz w:val="28"/>
          <w:szCs w:val="28"/>
          <w:lang w:val="el-GR"/>
        </w:rPr>
        <w:t>εφεσειόντων</w:t>
      </w:r>
      <w:proofErr w:type="spellEnd"/>
      <w:r w:rsidR="00FB715D" w:rsidRPr="00202454">
        <w:rPr>
          <w:rFonts w:ascii="Bookman Old Style" w:hAnsi="Bookman Old Style"/>
          <w:i/>
          <w:iCs/>
          <w:sz w:val="28"/>
          <w:szCs w:val="28"/>
          <w:lang w:val="el-GR"/>
        </w:rPr>
        <w:t>, «παραδοχές» των ΜΥ2 και ΜΥ3.</w:t>
      </w:r>
      <w:r w:rsidR="00202454" w:rsidRPr="00202454">
        <w:rPr>
          <w:i/>
          <w:iCs/>
          <w:lang w:val="el-GR"/>
        </w:rPr>
        <w:t xml:space="preserve"> </w:t>
      </w:r>
      <w:r w:rsidR="00202454" w:rsidRPr="00202454">
        <w:rPr>
          <w:rFonts w:ascii="Bookman Old Style" w:hAnsi="Bookman Old Style"/>
          <w:i/>
          <w:iCs/>
          <w:sz w:val="28"/>
          <w:szCs w:val="28"/>
          <w:lang w:val="el-GR"/>
        </w:rPr>
        <w:t>Ο ενάγων έχει το βάρος να θεμελιώσει, με βάση το ισοζύγιο των πιθανοτήτων, αμέλεια του αντιδίκου και αιτιώδη συνάφεια μεταξύ της αμέλειας και των ζημιών που έχει υποστεί συνεπεία αυτής</w:t>
      </w:r>
      <w:r w:rsidR="00202454">
        <w:rPr>
          <w:rFonts w:ascii="Bookman Old Style" w:hAnsi="Bookman Old Style"/>
          <w:sz w:val="28"/>
          <w:szCs w:val="28"/>
          <w:lang w:val="el-GR"/>
        </w:rPr>
        <w:t>».</w:t>
      </w:r>
    </w:p>
    <w:p w14:paraId="436CF1B9" w14:textId="77777777" w:rsidR="00761FF9" w:rsidRDefault="00761FF9" w:rsidP="00632211">
      <w:pPr>
        <w:spacing w:line="480" w:lineRule="auto"/>
        <w:ind w:right="-35"/>
        <w:jc w:val="both"/>
        <w:rPr>
          <w:rFonts w:ascii="Bookman Old Style" w:hAnsi="Bookman Old Style"/>
          <w:sz w:val="28"/>
          <w:szCs w:val="28"/>
          <w:lang w:val="el-GR"/>
        </w:rPr>
      </w:pPr>
    </w:p>
    <w:p w14:paraId="71BD277D" w14:textId="28E35826" w:rsidR="00761FF9" w:rsidRDefault="002530D9" w:rsidP="0063221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Η πλευρά της </w:t>
      </w:r>
      <w:proofErr w:type="spellStart"/>
      <w:r>
        <w:rPr>
          <w:rFonts w:ascii="Bookman Old Style" w:hAnsi="Bookman Old Style"/>
          <w:sz w:val="28"/>
          <w:szCs w:val="28"/>
          <w:lang w:val="el-GR"/>
        </w:rPr>
        <w:t>Εφεσείουσας</w:t>
      </w:r>
      <w:proofErr w:type="spellEnd"/>
      <w:r w:rsidR="00761FF9">
        <w:rPr>
          <w:rFonts w:ascii="Bookman Old Style" w:hAnsi="Bookman Old Style"/>
          <w:sz w:val="28"/>
          <w:szCs w:val="28"/>
          <w:lang w:val="el-GR"/>
        </w:rPr>
        <w:t xml:space="preserve"> διατείνεται</w:t>
      </w:r>
      <w:r>
        <w:rPr>
          <w:rFonts w:ascii="Bookman Old Style" w:hAnsi="Bookman Old Style"/>
          <w:sz w:val="28"/>
          <w:szCs w:val="28"/>
          <w:lang w:val="el-GR"/>
        </w:rPr>
        <w:t>, επίσης,</w:t>
      </w:r>
      <w:r w:rsidR="00761FF9">
        <w:rPr>
          <w:rFonts w:ascii="Bookman Old Style" w:hAnsi="Bookman Old Style"/>
          <w:sz w:val="28"/>
          <w:szCs w:val="28"/>
          <w:lang w:val="el-GR"/>
        </w:rPr>
        <w:t xml:space="preserve"> ότι το πρωτόδικο Δικαστήριο αναφερόμενο στις δύο καταστάσεις λογαριασμού, </w:t>
      </w:r>
      <w:r w:rsidR="00761FF9" w:rsidRPr="00E44E03">
        <w:rPr>
          <w:rFonts w:ascii="Bookman Old Style" w:hAnsi="Bookman Old Style"/>
          <w:b/>
          <w:bCs/>
          <w:sz w:val="28"/>
          <w:szCs w:val="28"/>
          <w:lang w:val="el-GR"/>
        </w:rPr>
        <w:t>Τεκμήρια 4</w:t>
      </w:r>
      <w:r w:rsidR="00761FF9">
        <w:rPr>
          <w:rFonts w:ascii="Bookman Old Style" w:hAnsi="Bookman Old Style"/>
          <w:sz w:val="28"/>
          <w:szCs w:val="28"/>
          <w:lang w:val="el-GR"/>
        </w:rPr>
        <w:t xml:space="preserve"> και </w:t>
      </w:r>
      <w:r w:rsidR="00761FF9" w:rsidRPr="00E44E03">
        <w:rPr>
          <w:rFonts w:ascii="Bookman Old Style" w:hAnsi="Bookman Old Style"/>
          <w:b/>
          <w:bCs/>
          <w:sz w:val="28"/>
          <w:szCs w:val="28"/>
          <w:lang w:val="el-GR"/>
        </w:rPr>
        <w:t>77</w:t>
      </w:r>
      <w:r w:rsidR="00761FF9">
        <w:rPr>
          <w:rFonts w:ascii="Bookman Old Style" w:hAnsi="Bookman Old Style"/>
          <w:sz w:val="28"/>
          <w:szCs w:val="28"/>
          <w:lang w:val="el-GR"/>
        </w:rPr>
        <w:t xml:space="preserve">, σχολιάζει ότι υπάρχουν δύο διαφορετικά οφειλόμενα υπόλοιπα, ήτοι ποσό Λ.Κ. 19.747,10 σε σχέση με το </w:t>
      </w:r>
      <w:r w:rsidR="00761FF9" w:rsidRPr="00E44E03">
        <w:rPr>
          <w:rFonts w:ascii="Bookman Old Style" w:hAnsi="Bookman Old Style"/>
          <w:b/>
          <w:bCs/>
          <w:sz w:val="28"/>
          <w:szCs w:val="28"/>
          <w:lang w:val="el-GR"/>
        </w:rPr>
        <w:t>Τεκμήριο 4</w:t>
      </w:r>
      <w:r w:rsidR="00761FF9">
        <w:rPr>
          <w:rFonts w:ascii="Bookman Old Style" w:hAnsi="Bookman Old Style"/>
          <w:sz w:val="28"/>
          <w:szCs w:val="28"/>
          <w:lang w:val="el-GR"/>
        </w:rPr>
        <w:t xml:space="preserve">, ενώ σε σχέση με το </w:t>
      </w:r>
      <w:r w:rsidR="00761FF9" w:rsidRPr="00E44E03">
        <w:rPr>
          <w:rFonts w:ascii="Bookman Old Style" w:hAnsi="Bookman Old Style"/>
          <w:b/>
          <w:bCs/>
          <w:sz w:val="28"/>
          <w:szCs w:val="28"/>
          <w:lang w:val="el-GR"/>
        </w:rPr>
        <w:t>Τεκμήριο 77</w:t>
      </w:r>
      <w:r w:rsidR="00761FF9">
        <w:rPr>
          <w:rFonts w:ascii="Bookman Old Style" w:hAnsi="Bookman Old Style"/>
          <w:sz w:val="28"/>
          <w:szCs w:val="28"/>
          <w:lang w:val="el-GR"/>
        </w:rPr>
        <w:t xml:space="preserve"> οφειλόμενο υπόλοιπο για ποσό Λ.Κ. 16.745,60, παραλείποντας να σημειώσει ή να αντιληφθεί ότι πρόκειται για τις </w:t>
      </w:r>
      <w:r w:rsidR="004A0D43">
        <w:rPr>
          <w:rFonts w:ascii="Bookman Old Style" w:hAnsi="Bookman Old Style"/>
          <w:sz w:val="28"/>
          <w:szCs w:val="28"/>
          <w:lang w:val="el-GR"/>
        </w:rPr>
        <w:t>ίδιες,</w:t>
      </w:r>
      <w:r w:rsidR="00761FF9">
        <w:rPr>
          <w:rFonts w:ascii="Bookman Old Style" w:hAnsi="Bookman Old Style"/>
          <w:sz w:val="28"/>
          <w:szCs w:val="28"/>
          <w:lang w:val="el-GR"/>
        </w:rPr>
        <w:t xml:space="preserve"> κατ’ </w:t>
      </w:r>
      <w:proofErr w:type="spellStart"/>
      <w:r w:rsidR="00761FF9">
        <w:rPr>
          <w:rFonts w:ascii="Bookman Old Style" w:hAnsi="Bookman Old Style"/>
          <w:sz w:val="28"/>
          <w:szCs w:val="28"/>
          <w:lang w:val="el-GR"/>
        </w:rPr>
        <w:t>ουσίαν</w:t>
      </w:r>
      <w:proofErr w:type="spellEnd"/>
      <w:r w:rsidR="004A0D43">
        <w:rPr>
          <w:rFonts w:ascii="Bookman Old Style" w:hAnsi="Bookman Old Style"/>
          <w:sz w:val="28"/>
          <w:szCs w:val="28"/>
          <w:lang w:val="el-GR"/>
        </w:rPr>
        <w:t>,</w:t>
      </w:r>
      <w:r w:rsidR="00761FF9">
        <w:rPr>
          <w:rFonts w:ascii="Bookman Old Style" w:hAnsi="Bookman Old Style"/>
          <w:sz w:val="28"/>
          <w:szCs w:val="28"/>
          <w:lang w:val="el-GR"/>
        </w:rPr>
        <w:t xml:space="preserve"> </w:t>
      </w:r>
      <w:r w:rsidR="00E44E03">
        <w:rPr>
          <w:rFonts w:ascii="Bookman Old Style" w:hAnsi="Bookman Old Style"/>
          <w:sz w:val="28"/>
          <w:szCs w:val="28"/>
          <w:lang w:val="el-GR"/>
        </w:rPr>
        <w:t>Κ</w:t>
      </w:r>
      <w:r w:rsidR="00761FF9">
        <w:rPr>
          <w:rFonts w:ascii="Bookman Old Style" w:hAnsi="Bookman Old Style"/>
          <w:sz w:val="28"/>
          <w:szCs w:val="28"/>
          <w:lang w:val="el-GR"/>
        </w:rPr>
        <w:t>αταστάσεις</w:t>
      </w:r>
      <w:r w:rsidR="00E44E03" w:rsidRPr="00E44E03">
        <w:rPr>
          <w:rFonts w:ascii="Bookman Old Style" w:hAnsi="Bookman Old Style"/>
          <w:sz w:val="28"/>
          <w:szCs w:val="28"/>
          <w:lang w:val="el-GR"/>
        </w:rPr>
        <w:t xml:space="preserve"> </w:t>
      </w:r>
      <w:r w:rsidR="00E44E03">
        <w:rPr>
          <w:rFonts w:ascii="Bookman Old Style" w:hAnsi="Bookman Old Style"/>
          <w:sz w:val="28"/>
          <w:szCs w:val="28"/>
          <w:lang w:val="el-GR"/>
        </w:rPr>
        <w:t xml:space="preserve">και με μόνη διαφορά το γεγονός ότι η </w:t>
      </w:r>
      <w:r w:rsidR="006A5F80">
        <w:rPr>
          <w:rFonts w:ascii="Bookman Old Style" w:hAnsi="Bookman Old Style"/>
          <w:sz w:val="28"/>
          <w:szCs w:val="28"/>
          <w:lang w:val="el-GR"/>
        </w:rPr>
        <w:t xml:space="preserve">                         </w:t>
      </w:r>
      <w:r w:rsidR="003743D5">
        <w:rPr>
          <w:rFonts w:ascii="Bookman Old Style" w:hAnsi="Bookman Old Style"/>
          <w:sz w:val="28"/>
          <w:szCs w:val="28"/>
          <w:lang w:val="el-GR"/>
        </w:rPr>
        <w:t>2</w:t>
      </w:r>
      <w:r w:rsidR="003743D5" w:rsidRPr="003743D5">
        <w:rPr>
          <w:rFonts w:ascii="Bookman Old Style" w:hAnsi="Bookman Old Style"/>
          <w:sz w:val="28"/>
          <w:szCs w:val="28"/>
          <w:vertAlign w:val="superscript"/>
          <w:lang w:val="el-GR"/>
        </w:rPr>
        <w:t>η</w:t>
      </w:r>
      <w:r w:rsidR="003743D5">
        <w:rPr>
          <w:rFonts w:ascii="Bookman Old Style" w:hAnsi="Bookman Old Style"/>
          <w:sz w:val="28"/>
          <w:szCs w:val="28"/>
          <w:lang w:val="el-GR"/>
        </w:rPr>
        <w:t xml:space="preserve"> </w:t>
      </w:r>
      <w:r w:rsidR="00E44E03">
        <w:rPr>
          <w:rFonts w:ascii="Bookman Old Style" w:hAnsi="Bookman Old Style"/>
          <w:sz w:val="28"/>
          <w:szCs w:val="28"/>
          <w:lang w:val="el-GR"/>
        </w:rPr>
        <w:t>Κατάσταση αναφέρεται σε μεταγενέστερη περίοδο μέχρι τ</w:t>
      </w:r>
      <w:r w:rsidR="000C7D49">
        <w:rPr>
          <w:rFonts w:ascii="Bookman Old Style" w:hAnsi="Bookman Old Style"/>
          <w:sz w:val="28"/>
          <w:szCs w:val="28"/>
          <w:lang w:val="el-GR"/>
        </w:rPr>
        <w:t>ις</w:t>
      </w:r>
      <w:r w:rsidR="00E44E03">
        <w:rPr>
          <w:rFonts w:ascii="Bookman Old Style" w:hAnsi="Bookman Old Style"/>
          <w:sz w:val="28"/>
          <w:szCs w:val="28"/>
          <w:lang w:val="el-GR"/>
        </w:rPr>
        <w:t xml:space="preserve"> 10/8/2007</w:t>
      </w:r>
      <w:r w:rsidR="00403FE5">
        <w:rPr>
          <w:rFonts w:ascii="Bookman Old Style" w:hAnsi="Bookman Old Style"/>
          <w:sz w:val="28"/>
          <w:szCs w:val="28"/>
          <w:lang w:val="el-GR"/>
        </w:rPr>
        <w:t xml:space="preserve"> (όπου υπήρχε μεταγενέστερα μία πίστωση ύψους €3.001,50)</w:t>
      </w:r>
      <w:r w:rsidR="003743D5">
        <w:rPr>
          <w:rFonts w:ascii="Bookman Old Style" w:hAnsi="Bookman Old Style"/>
          <w:sz w:val="28"/>
          <w:szCs w:val="28"/>
          <w:lang w:val="el-GR"/>
        </w:rPr>
        <w:t>,</w:t>
      </w:r>
      <w:r w:rsidR="00E44E03">
        <w:rPr>
          <w:rFonts w:ascii="Bookman Old Style" w:hAnsi="Bookman Old Style"/>
          <w:sz w:val="28"/>
          <w:szCs w:val="28"/>
          <w:lang w:val="el-GR"/>
        </w:rPr>
        <w:t xml:space="preserve"> ενώ η </w:t>
      </w:r>
      <w:r w:rsidR="00403FE5">
        <w:rPr>
          <w:rFonts w:ascii="Bookman Old Style" w:hAnsi="Bookman Old Style"/>
          <w:sz w:val="28"/>
          <w:szCs w:val="28"/>
          <w:lang w:val="el-GR"/>
        </w:rPr>
        <w:t xml:space="preserve">                         </w:t>
      </w:r>
      <w:r w:rsidR="003743D5">
        <w:rPr>
          <w:rFonts w:ascii="Bookman Old Style" w:hAnsi="Bookman Old Style"/>
          <w:sz w:val="28"/>
          <w:szCs w:val="28"/>
          <w:lang w:val="el-GR"/>
        </w:rPr>
        <w:t>1</w:t>
      </w:r>
      <w:r w:rsidR="003743D5" w:rsidRPr="003743D5">
        <w:rPr>
          <w:rFonts w:ascii="Bookman Old Style" w:hAnsi="Bookman Old Style"/>
          <w:sz w:val="28"/>
          <w:szCs w:val="28"/>
          <w:vertAlign w:val="superscript"/>
          <w:lang w:val="el-GR"/>
        </w:rPr>
        <w:t>η</w:t>
      </w:r>
      <w:r w:rsidR="003743D5">
        <w:rPr>
          <w:rFonts w:ascii="Bookman Old Style" w:hAnsi="Bookman Old Style"/>
          <w:sz w:val="28"/>
          <w:szCs w:val="28"/>
          <w:lang w:val="el-GR"/>
        </w:rPr>
        <w:t xml:space="preserve"> </w:t>
      </w:r>
      <w:r w:rsidR="00E44E03">
        <w:rPr>
          <w:rFonts w:ascii="Bookman Old Style" w:hAnsi="Bookman Old Style"/>
          <w:sz w:val="28"/>
          <w:szCs w:val="28"/>
          <w:lang w:val="el-GR"/>
        </w:rPr>
        <w:t>Κατάσταση είναι μέχρι τ</w:t>
      </w:r>
      <w:r w:rsidR="00403FE5">
        <w:rPr>
          <w:rFonts w:ascii="Bookman Old Style" w:hAnsi="Bookman Old Style"/>
          <w:sz w:val="28"/>
          <w:szCs w:val="28"/>
          <w:lang w:val="el-GR"/>
        </w:rPr>
        <w:t>ις</w:t>
      </w:r>
      <w:r w:rsidR="00E44E03">
        <w:rPr>
          <w:rFonts w:ascii="Bookman Old Style" w:hAnsi="Bookman Old Style"/>
          <w:sz w:val="28"/>
          <w:szCs w:val="28"/>
          <w:lang w:val="el-GR"/>
        </w:rPr>
        <w:t xml:space="preserve"> 13/9/200</w:t>
      </w:r>
      <w:r w:rsidR="00403FE5">
        <w:rPr>
          <w:rFonts w:ascii="Bookman Old Style" w:hAnsi="Bookman Old Style"/>
          <w:sz w:val="28"/>
          <w:szCs w:val="28"/>
          <w:lang w:val="el-GR"/>
        </w:rPr>
        <w:t>5</w:t>
      </w:r>
      <w:r w:rsidR="00761FF9">
        <w:rPr>
          <w:rFonts w:ascii="Bookman Old Style" w:hAnsi="Bookman Old Style"/>
          <w:sz w:val="28"/>
          <w:szCs w:val="28"/>
          <w:lang w:val="el-GR"/>
        </w:rPr>
        <w:t>.</w:t>
      </w:r>
    </w:p>
    <w:p w14:paraId="76AC6E5F" w14:textId="77777777" w:rsidR="00761FF9" w:rsidRDefault="00761FF9" w:rsidP="00632211">
      <w:pPr>
        <w:spacing w:line="480" w:lineRule="auto"/>
        <w:ind w:right="-35"/>
        <w:jc w:val="both"/>
        <w:rPr>
          <w:rFonts w:ascii="Bookman Old Style" w:hAnsi="Bookman Old Style"/>
          <w:sz w:val="28"/>
          <w:szCs w:val="28"/>
          <w:lang w:val="el-GR"/>
        </w:rPr>
      </w:pPr>
    </w:p>
    <w:p w14:paraId="0B7C2902" w14:textId="19759C33" w:rsidR="00761FF9" w:rsidRDefault="00761FF9" w:rsidP="0063221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Η πιο πάνω θέση είναι άνευ ερείσματος. Το πρωτόδικο Δικαστήριο, αφού αναφέρ</w:t>
      </w:r>
      <w:r w:rsidR="00CE3332">
        <w:rPr>
          <w:rFonts w:ascii="Bookman Old Style" w:hAnsi="Bookman Old Style"/>
          <w:sz w:val="28"/>
          <w:szCs w:val="28"/>
          <w:lang w:val="el-GR"/>
        </w:rPr>
        <w:t>θηκε</w:t>
      </w:r>
      <w:r>
        <w:rPr>
          <w:rFonts w:ascii="Bookman Old Style" w:hAnsi="Bookman Old Style"/>
          <w:sz w:val="28"/>
          <w:szCs w:val="28"/>
          <w:lang w:val="el-GR"/>
        </w:rPr>
        <w:t xml:space="preserve"> και στις δύο </w:t>
      </w:r>
      <w:r w:rsidR="00E44E03">
        <w:rPr>
          <w:rFonts w:ascii="Bookman Old Style" w:hAnsi="Bookman Old Style"/>
          <w:sz w:val="28"/>
          <w:szCs w:val="28"/>
          <w:lang w:val="el-GR"/>
        </w:rPr>
        <w:t>Κ</w:t>
      </w:r>
      <w:r>
        <w:rPr>
          <w:rFonts w:ascii="Bookman Old Style" w:hAnsi="Bookman Old Style"/>
          <w:sz w:val="28"/>
          <w:szCs w:val="28"/>
          <w:lang w:val="el-GR"/>
        </w:rPr>
        <w:t>αταστάσεις, σημε</w:t>
      </w:r>
      <w:r w:rsidR="00CE3332">
        <w:rPr>
          <w:rFonts w:ascii="Bookman Old Style" w:hAnsi="Bookman Old Style"/>
          <w:sz w:val="28"/>
          <w:szCs w:val="28"/>
          <w:lang w:val="el-GR"/>
        </w:rPr>
        <w:t>ίωσε</w:t>
      </w:r>
      <w:r>
        <w:rPr>
          <w:rFonts w:ascii="Bookman Old Style" w:hAnsi="Bookman Old Style"/>
          <w:sz w:val="28"/>
          <w:szCs w:val="28"/>
          <w:lang w:val="el-GR"/>
        </w:rPr>
        <w:t xml:space="preserve"> το οφειλόμενο υπόλοιπο που καταγράφεται σε κάθε μια από αυτές. Δεν παρέλειψε,</w:t>
      </w:r>
      <w:r w:rsidR="00E44E03">
        <w:rPr>
          <w:rFonts w:ascii="Bookman Old Style" w:hAnsi="Bookman Old Style"/>
          <w:sz w:val="28"/>
          <w:szCs w:val="28"/>
          <w:lang w:val="el-GR"/>
        </w:rPr>
        <w:t xml:space="preserve"> ωστόσο,</w:t>
      </w:r>
      <w:r>
        <w:rPr>
          <w:rFonts w:ascii="Bookman Old Style" w:hAnsi="Bookman Old Style"/>
          <w:sz w:val="28"/>
          <w:szCs w:val="28"/>
          <w:lang w:val="el-GR"/>
        </w:rPr>
        <w:t xml:space="preserve"> σε σχέση με τη δεύτερη </w:t>
      </w:r>
      <w:r w:rsidR="00CE3332">
        <w:rPr>
          <w:rFonts w:ascii="Bookman Old Style" w:hAnsi="Bookman Old Style"/>
          <w:sz w:val="28"/>
          <w:szCs w:val="28"/>
          <w:lang w:val="el-GR"/>
        </w:rPr>
        <w:t>Κ</w:t>
      </w:r>
      <w:r>
        <w:rPr>
          <w:rFonts w:ascii="Bookman Old Style" w:hAnsi="Bookman Old Style"/>
          <w:sz w:val="28"/>
          <w:szCs w:val="28"/>
          <w:lang w:val="el-GR"/>
        </w:rPr>
        <w:t>ατάσταση</w:t>
      </w:r>
      <w:r w:rsidR="00E44E03">
        <w:rPr>
          <w:rFonts w:ascii="Bookman Old Style" w:hAnsi="Bookman Old Style"/>
          <w:sz w:val="28"/>
          <w:szCs w:val="28"/>
          <w:lang w:val="el-GR"/>
        </w:rPr>
        <w:t>,</w:t>
      </w:r>
      <w:r>
        <w:rPr>
          <w:rFonts w:ascii="Bookman Old Style" w:hAnsi="Bookman Old Style"/>
          <w:sz w:val="28"/>
          <w:szCs w:val="28"/>
          <w:lang w:val="el-GR"/>
        </w:rPr>
        <w:t xml:space="preserve"> </w:t>
      </w:r>
      <w:r w:rsidRPr="00E44E03">
        <w:rPr>
          <w:rFonts w:ascii="Bookman Old Style" w:hAnsi="Bookman Old Style"/>
          <w:b/>
          <w:bCs/>
          <w:sz w:val="28"/>
          <w:szCs w:val="28"/>
          <w:lang w:val="el-GR"/>
        </w:rPr>
        <w:t>Τεκμήριο 77</w:t>
      </w:r>
      <w:r>
        <w:rPr>
          <w:rFonts w:ascii="Bookman Old Style" w:hAnsi="Bookman Old Style"/>
          <w:sz w:val="28"/>
          <w:szCs w:val="28"/>
          <w:lang w:val="el-GR"/>
        </w:rPr>
        <w:t xml:space="preserve">, να επισημάνει ότι φαίνονται οι ίδιες εγγραφές όπως εκείνες της πρώτης </w:t>
      </w:r>
      <w:r w:rsidR="00E44E03">
        <w:rPr>
          <w:rFonts w:ascii="Bookman Old Style" w:hAnsi="Bookman Old Style"/>
          <w:sz w:val="28"/>
          <w:szCs w:val="28"/>
          <w:lang w:val="el-GR"/>
        </w:rPr>
        <w:t>Κ</w:t>
      </w:r>
      <w:r>
        <w:rPr>
          <w:rFonts w:ascii="Bookman Old Style" w:hAnsi="Bookman Old Style"/>
          <w:sz w:val="28"/>
          <w:szCs w:val="28"/>
          <w:lang w:val="el-GR"/>
        </w:rPr>
        <w:t xml:space="preserve">ατάστασης, </w:t>
      </w:r>
      <w:r w:rsidRPr="00E44E03">
        <w:rPr>
          <w:rFonts w:ascii="Bookman Old Style" w:hAnsi="Bookman Old Style"/>
          <w:b/>
          <w:bCs/>
          <w:sz w:val="28"/>
          <w:szCs w:val="28"/>
          <w:lang w:val="el-GR"/>
        </w:rPr>
        <w:t>Τεκμήριο 4</w:t>
      </w:r>
      <w:r>
        <w:rPr>
          <w:rFonts w:ascii="Bookman Old Style" w:hAnsi="Bookman Old Style"/>
          <w:sz w:val="28"/>
          <w:szCs w:val="28"/>
          <w:lang w:val="el-GR"/>
        </w:rPr>
        <w:t>, σημειώνοντας</w:t>
      </w:r>
      <w:r w:rsidR="00CE3332">
        <w:rPr>
          <w:rFonts w:ascii="Bookman Old Style" w:hAnsi="Bookman Old Style"/>
          <w:sz w:val="28"/>
          <w:szCs w:val="28"/>
          <w:lang w:val="el-GR"/>
        </w:rPr>
        <w:t>,</w:t>
      </w:r>
      <w:r>
        <w:rPr>
          <w:rFonts w:ascii="Bookman Old Style" w:hAnsi="Bookman Old Style"/>
          <w:sz w:val="28"/>
          <w:szCs w:val="28"/>
          <w:lang w:val="el-GR"/>
        </w:rPr>
        <w:t xml:space="preserve"> περαιτέρω</w:t>
      </w:r>
      <w:r w:rsidR="00CE3332">
        <w:rPr>
          <w:rFonts w:ascii="Bookman Old Style" w:hAnsi="Bookman Old Style"/>
          <w:sz w:val="28"/>
          <w:szCs w:val="28"/>
          <w:lang w:val="el-GR"/>
        </w:rPr>
        <w:t>,</w:t>
      </w:r>
      <w:r>
        <w:rPr>
          <w:rFonts w:ascii="Bookman Old Style" w:hAnsi="Bookman Old Style"/>
          <w:sz w:val="28"/>
          <w:szCs w:val="28"/>
          <w:lang w:val="el-GR"/>
        </w:rPr>
        <w:t xml:space="preserve"> ότι στη δεύτερη </w:t>
      </w:r>
      <w:r w:rsidR="00E44E03">
        <w:rPr>
          <w:rFonts w:ascii="Bookman Old Style" w:hAnsi="Bookman Old Style"/>
          <w:sz w:val="28"/>
          <w:szCs w:val="28"/>
          <w:lang w:val="el-GR"/>
        </w:rPr>
        <w:t>Κ</w:t>
      </w:r>
      <w:r>
        <w:rPr>
          <w:rFonts w:ascii="Bookman Old Style" w:hAnsi="Bookman Old Style"/>
          <w:sz w:val="28"/>
          <w:szCs w:val="28"/>
          <w:lang w:val="el-GR"/>
        </w:rPr>
        <w:t xml:space="preserve">ατάσταση υπάρχει μία επιπλέον πίστωση που αφορά σημείωμα για επιστραφέντα εμπορεύματα,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10/8/2007, αξίας Λ.Κ. 3.001,50, η οποία πίστωση είχε ως αποτέλεσμα να διαμορφωθεί το ύψος του οφειλόμενου υπολοίπου στο ποσό των Λ.Κ. 16.745,60. Κατά συνέπεια, το πρωτόδικο Δικαστήριο είχε αντιληφθεί πλήρως ότι</w:t>
      </w:r>
      <w:r w:rsidR="00E44E03">
        <w:rPr>
          <w:rFonts w:ascii="Bookman Old Style" w:hAnsi="Bookman Old Style"/>
          <w:sz w:val="28"/>
          <w:szCs w:val="28"/>
          <w:lang w:val="el-GR"/>
        </w:rPr>
        <w:t>,</w:t>
      </w:r>
      <w:r>
        <w:rPr>
          <w:rFonts w:ascii="Bookman Old Style" w:hAnsi="Bookman Old Style"/>
          <w:sz w:val="28"/>
          <w:szCs w:val="28"/>
          <w:lang w:val="el-GR"/>
        </w:rPr>
        <w:t xml:space="preserve"> ενώ υπήρχαν στη δεύτερη </w:t>
      </w:r>
      <w:r w:rsidR="00E44E03">
        <w:rPr>
          <w:rFonts w:ascii="Bookman Old Style" w:hAnsi="Bookman Old Style"/>
          <w:sz w:val="28"/>
          <w:szCs w:val="28"/>
          <w:lang w:val="el-GR"/>
        </w:rPr>
        <w:t>Κ</w:t>
      </w:r>
      <w:r>
        <w:rPr>
          <w:rFonts w:ascii="Bookman Old Style" w:hAnsi="Bookman Old Style"/>
          <w:sz w:val="28"/>
          <w:szCs w:val="28"/>
          <w:lang w:val="el-GR"/>
        </w:rPr>
        <w:t xml:space="preserve">ατάσταση λογαριασμού οι ίδιες εγγραφές, υπήρχε επιπροσθέτως μια πίστωση σε ημερομηνία μεταγενέστερη από την πρώτη </w:t>
      </w:r>
      <w:r w:rsidR="00E44E03">
        <w:rPr>
          <w:rFonts w:ascii="Bookman Old Style" w:hAnsi="Bookman Old Style"/>
          <w:sz w:val="28"/>
          <w:szCs w:val="28"/>
          <w:lang w:val="el-GR"/>
        </w:rPr>
        <w:t>Κ</w:t>
      </w:r>
      <w:r>
        <w:rPr>
          <w:rFonts w:ascii="Bookman Old Style" w:hAnsi="Bookman Old Style"/>
          <w:sz w:val="28"/>
          <w:szCs w:val="28"/>
          <w:lang w:val="el-GR"/>
        </w:rPr>
        <w:t xml:space="preserve">ατάσταση, </w:t>
      </w:r>
      <w:r w:rsidRPr="00E44E03">
        <w:rPr>
          <w:rFonts w:ascii="Bookman Old Style" w:hAnsi="Bookman Old Style"/>
          <w:b/>
          <w:bCs/>
          <w:sz w:val="28"/>
          <w:szCs w:val="28"/>
          <w:lang w:val="el-GR"/>
        </w:rPr>
        <w:t>Τεκμήριο 4</w:t>
      </w:r>
      <w:r>
        <w:rPr>
          <w:rFonts w:ascii="Bookman Old Style" w:hAnsi="Bookman Old Style"/>
          <w:sz w:val="28"/>
          <w:szCs w:val="28"/>
          <w:lang w:val="el-GR"/>
        </w:rPr>
        <w:t>, ήτοι στις 10/8/2007, η οποία οδήγησε στη μείωση</w:t>
      </w:r>
      <w:r w:rsidR="00E44E03">
        <w:rPr>
          <w:rFonts w:ascii="Bookman Old Style" w:hAnsi="Bookman Old Style"/>
          <w:sz w:val="28"/>
          <w:szCs w:val="28"/>
          <w:lang w:val="el-GR"/>
        </w:rPr>
        <w:t xml:space="preserve"> – και, συνεπώς, στη διαφοροποίηση</w:t>
      </w:r>
      <w:r w:rsidR="00CE3332">
        <w:rPr>
          <w:rFonts w:ascii="Bookman Old Style" w:hAnsi="Bookman Old Style"/>
          <w:sz w:val="28"/>
          <w:szCs w:val="28"/>
          <w:lang w:val="el-GR"/>
        </w:rPr>
        <w:t xml:space="preserve"> </w:t>
      </w:r>
      <w:r w:rsidR="00E44E03">
        <w:rPr>
          <w:rFonts w:ascii="Bookman Old Style" w:hAnsi="Bookman Old Style"/>
          <w:sz w:val="28"/>
          <w:szCs w:val="28"/>
          <w:lang w:val="el-GR"/>
        </w:rPr>
        <w:t>-</w:t>
      </w:r>
      <w:r>
        <w:rPr>
          <w:rFonts w:ascii="Bookman Old Style" w:hAnsi="Bookman Old Style"/>
          <w:sz w:val="28"/>
          <w:szCs w:val="28"/>
          <w:lang w:val="el-GR"/>
        </w:rPr>
        <w:t xml:space="preserve"> του οφειλόμενου υπόλοιπου. </w:t>
      </w:r>
    </w:p>
    <w:p w14:paraId="26804ED0" w14:textId="77777777" w:rsidR="008C208A" w:rsidRDefault="008C208A" w:rsidP="00632211">
      <w:pPr>
        <w:spacing w:line="480" w:lineRule="auto"/>
        <w:ind w:right="-35"/>
        <w:jc w:val="both"/>
        <w:rPr>
          <w:rFonts w:ascii="Bookman Old Style" w:hAnsi="Bookman Old Style"/>
          <w:sz w:val="28"/>
          <w:szCs w:val="28"/>
          <w:lang w:val="el-GR"/>
        </w:rPr>
      </w:pPr>
    </w:p>
    <w:p w14:paraId="79BF7682" w14:textId="5A4F6C85" w:rsidR="008C208A" w:rsidRDefault="008C208A" w:rsidP="008C208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Παραπονείται η πλευρά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ότι το πρωτόδικο Δικαστήριο επηρεαζόμενο από την «</w:t>
      </w:r>
      <w:r>
        <w:rPr>
          <w:rFonts w:ascii="Bookman Old Style" w:hAnsi="Bookman Old Style"/>
          <w:i/>
          <w:iCs/>
          <w:sz w:val="28"/>
          <w:szCs w:val="28"/>
          <w:lang w:val="el-GR"/>
        </w:rPr>
        <w:t xml:space="preserve">πεπλανημένη </w:t>
      </w:r>
      <w:r w:rsidRPr="00761FF9">
        <w:rPr>
          <w:rFonts w:ascii="Bookman Old Style" w:hAnsi="Bookman Old Style"/>
          <w:i/>
          <w:iCs/>
          <w:sz w:val="28"/>
          <w:szCs w:val="28"/>
          <w:lang w:val="el-GR"/>
        </w:rPr>
        <w:t>αντίληψη</w:t>
      </w:r>
      <w:r>
        <w:rPr>
          <w:rFonts w:ascii="Bookman Old Style" w:hAnsi="Bookman Old Style"/>
          <w:i/>
          <w:iCs/>
          <w:sz w:val="28"/>
          <w:szCs w:val="28"/>
          <w:lang w:val="el-GR"/>
        </w:rPr>
        <w:t>»</w:t>
      </w:r>
      <w:r>
        <w:rPr>
          <w:rFonts w:ascii="Bookman Old Style" w:hAnsi="Bookman Old Style"/>
          <w:sz w:val="28"/>
          <w:szCs w:val="28"/>
          <w:lang w:val="el-GR"/>
        </w:rPr>
        <w:t xml:space="preserve"> που είχε ήδη διαμορφώσει για το Μ.Ε.1, κατέληξε ότι αυτός υπέπεσε σε αντιφάσεις</w:t>
      </w:r>
      <w:r w:rsidR="00234A95">
        <w:rPr>
          <w:rFonts w:ascii="Bookman Old Style" w:hAnsi="Bookman Old Style"/>
          <w:sz w:val="28"/>
          <w:szCs w:val="28"/>
          <w:lang w:val="el-GR"/>
        </w:rPr>
        <w:t>,</w:t>
      </w:r>
      <w:r>
        <w:rPr>
          <w:rFonts w:ascii="Bookman Old Style" w:hAnsi="Bookman Old Style"/>
          <w:sz w:val="28"/>
          <w:szCs w:val="28"/>
          <w:lang w:val="el-GR"/>
        </w:rPr>
        <w:t xml:space="preserve"> χωρίς να έχει εξετάσει επαρκώς το περιεχόμενο της μαρτυρίας και «</w:t>
      </w:r>
      <w:r>
        <w:rPr>
          <w:rFonts w:ascii="Bookman Old Style" w:hAnsi="Bookman Old Style"/>
          <w:i/>
          <w:iCs/>
          <w:sz w:val="28"/>
          <w:szCs w:val="28"/>
          <w:lang w:val="el-GR"/>
        </w:rPr>
        <w:t>βασιζόμενο σε αποσπάσματα της μαρτυρίας</w:t>
      </w:r>
      <w:r>
        <w:rPr>
          <w:rFonts w:ascii="Bookman Old Style" w:hAnsi="Bookman Old Style"/>
          <w:sz w:val="28"/>
          <w:szCs w:val="28"/>
          <w:lang w:val="el-GR"/>
        </w:rPr>
        <w:t>».</w:t>
      </w:r>
    </w:p>
    <w:p w14:paraId="41324B31" w14:textId="77777777" w:rsidR="008C208A" w:rsidRDefault="008C208A" w:rsidP="008C208A">
      <w:pPr>
        <w:spacing w:line="480" w:lineRule="auto"/>
        <w:ind w:right="-35"/>
        <w:jc w:val="both"/>
        <w:rPr>
          <w:rFonts w:ascii="Bookman Old Style" w:hAnsi="Bookman Old Style"/>
          <w:sz w:val="28"/>
          <w:szCs w:val="28"/>
          <w:lang w:val="el-GR"/>
        </w:rPr>
      </w:pPr>
    </w:p>
    <w:p w14:paraId="417B7B48" w14:textId="6E28A0EC" w:rsidR="008C208A" w:rsidRDefault="008C208A" w:rsidP="008C208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Δεν συμφωνούμε με την ως άνω θέση. Το πρωτόδικο Δικαστήριο παρέθεσε, ανέλυσε και αντίκρισε τη μαρτυρία του Μ.Ε.1 με πολλή λεπτομέρεια, δίδοντας ικανούς λόγους για τη μη αποδοχή της. </w:t>
      </w:r>
    </w:p>
    <w:p w14:paraId="365935F0" w14:textId="77777777" w:rsidR="004A0D43" w:rsidRDefault="004A0D43" w:rsidP="008C208A">
      <w:pPr>
        <w:spacing w:line="480" w:lineRule="auto"/>
        <w:ind w:right="-35"/>
        <w:jc w:val="both"/>
        <w:rPr>
          <w:rFonts w:ascii="Bookman Old Style" w:hAnsi="Bookman Old Style"/>
          <w:sz w:val="28"/>
          <w:szCs w:val="28"/>
          <w:lang w:val="el-GR"/>
        </w:rPr>
      </w:pPr>
    </w:p>
    <w:p w14:paraId="4BDF0087" w14:textId="27B25CE5" w:rsidR="004A0D43" w:rsidRDefault="004A0D43" w:rsidP="008C208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Και κάτι τελευταίο αναφορικά με τον </w:t>
      </w:r>
      <w:r w:rsidRPr="004A0D43">
        <w:rPr>
          <w:rFonts w:ascii="Bookman Old Style" w:hAnsi="Bookman Old Style"/>
          <w:b/>
          <w:bCs/>
          <w:sz w:val="28"/>
          <w:szCs w:val="28"/>
          <w:lang w:val="el-GR"/>
        </w:rPr>
        <w:t>3</w:t>
      </w:r>
      <w:r w:rsidRPr="004A0D43">
        <w:rPr>
          <w:rFonts w:ascii="Bookman Old Style" w:hAnsi="Bookman Old Style"/>
          <w:b/>
          <w:bCs/>
          <w:sz w:val="28"/>
          <w:szCs w:val="28"/>
          <w:vertAlign w:val="superscript"/>
          <w:lang w:val="el-GR"/>
        </w:rPr>
        <w:t>ο</w:t>
      </w:r>
      <w:r w:rsidRPr="004A0D43">
        <w:rPr>
          <w:rFonts w:ascii="Bookman Old Style" w:hAnsi="Bookman Old Style"/>
          <w:b/>
          <w:bCs/>
          <w:sz w:val="28"/>
          <w:szCs w:val="28"/>
          <w:lang w:val="el-GR"/>
        </w:rPr>
        <w:t xml:space="preserve"> Λόγο Έφεσης</w:t>
      </w:r>
      <w:r>
        <w:rPr>
          <w:rFonts w:ascii="Bookman Old Style" w:hAnsi="Bookman Old Style"/>
          <w:sz w:val="28"/>
          <w:szCs w:val="28"/>
          <w:lang w:val="el-GR"/>
        </w:rPr>
        <w:t>. Στο πλαίσιο του εν λόγω Λόγου Έφεσης γίνεται αναφορά σε νομολογία που επισημαίνει την ανάγκη μια μαρτυρία να τίθεται στη βάσανο της αξιολόγησης από απόψεως περιεχομένου και να μην γίνεται αποδεκτή ή να απορρίπτεται με μόνο την εξωτερική εντύπωση που προκαλεί ο μάρτυρας στο Δικαστήριο</w:t>
      </w:r>
      <w:r w:rsidR="004D4609">
        <w:rPr>
          <w:rFonts w:ascii="Bookman Old Style" w:hAnsi="Bookman Old Style"/>
          <w:sz w:val="28"/>
          <w:szCs w:val="28"/>
          <w:lang w:val="el-GR"/>
        </w:rPr>
        <w:t xml:space="preserve">, χωρίς, ωστόσο, να προβάλλεται οποιοσδήποτε ισχυρισμός που να έχει σχέση με την πιο πάνω </w:t>
      </w:r>
      <w:proofErr w:type="spellStart"/>
      <w:r w:rsidR="004D4609">
        <w:rPr>
          <w:rFonts w:ascii="Bookman Old Style" w:hAnsi="Bookman Old Style"/>
          <w:sz w:val="28"/>
          <w:szCs w:val="28"/>
          <w:lang w:val="el-GR"/>
        </w:rPr>
        <w:t>νομολογιακή</w:t>
      </w:r>
      <w:proofErr w:type="spellEnd"/>
      <w:r w:rsidR="004D4609">
        <w:rPr>
          <w:rFonts w:ascii="Bookman Old Style" w:hAnsi="Bookman Old Style"/>
          <w:sz w:val="28"/>
          <w:szCs w:val="28"/>
          <w:lang w:val="el-GR"/>
        </w:rPr>
        <w:t xml:space="preserve"> προσέγγιση</w:t>
      </w:r>
      <w:r>
        <w:rPr>
          <w:rFonts w:ascii="Bookman Old Style" w:hAnsi="Bookman Old Style"/>
          <w:sz w:val="28"/>
          <w:szCs w:val="28"/>
          <w:lang w:val="el-GR"/>
        </w:rPr>
        <w:t>.</w:t>
      </w:r>
      <w:r w:rsidR="004D4609">
        <w:rPr>
          <w:rFonts w:ascii="Bookman Old Style" w:hAnsi="Bookman Old Style"/>
          <w:sz w:val="28"/>
          <w:szCs w:val="28"/>
          <w:lang w:val="el-GR"/>
        </w:rPr>
        <w:t xml:space="preserve"> Εν πάση </w:t>
      </w:r>
      <w:proofErr w:type="spellStart"/>
      <w:r w:rsidR="004D4609">
        <w:rPr>
          <w:rFonts w:ascii="Bookman Old Style" w:hAnsi="Bookman Old Style"/>
          <w:sz w:val="28"/>
          <w:szCs w:val="28"/>
          <w:lang w:val="el-GR"/>
        </w:rPr>
        <w:t>περιπτώσει</w:t>
      </w:r>
      <w:proofErr w:type="spellEnd"/>
      <w:r w:rsidR="003743D5">
        <w:rPr>
          <w:rFonts w:ascii="Bookman Old Style" w:hAnsi="Bookman Old Style"/>
          <w:sz w:val="28"/>
          <w:szCs w:val="28"/>
          <w:lang w:val="el-GR"/>
        </w:rPr>
        <w:t>,</w:t>
      </w:r>
      <w:r w:rsidR="004D4609">
        <w:rPr>
          <w:rFonts w:ascii="Bookman Old Style" w:hAnsi="Bookman Old Style"/>
          <w:sz w:val="28"/>
          <w:szCs w:val="28"/>
          <w:lang w:val="el-GR"/>
        </w:rPr>
        <w:t xml:space="preserve"> στην υπό κρίση περίπτωση δεν έχουμε διαπιστώσει η αξιολόγηση να έγινε στη βάση των εντυπώσεων που ο Μ.Ε.1 άφησε στο εδώλιο του μάρτυρα και να μην έχει τεθεί στη βάσανο της αξιολόγησης το περιεχόμενο της μαρτυρίας του.</w:t>
      </w:r>
    </w:p>
    <w:p w14:paraId="393542E3" w14:textId="77777777" w:rsidR="008C208A" w:rsidRDefault="008C208A" w:rsidP="008C208A">
      <w:pPr>
        <w:spacing w:line="480" w:lineRule="auto"/>
        <w:ind w:right="-35"/>
        <w:jc w:val="both"/>
        <w:rPr>
          <w:rFonts w:ascii="Bookman Old Style" w:hAnsi="Bookman Old Style"/>
          <w:sz w:val="28"/>
          <w:szCs w:val="28"/>
          <w:lang w:val="el-GR"/>
        </w:rPr>
      </w:pPr>
    </w:p>
    <w:p w14:paraId="75699856" w14:textId="76BCF444" w:rsidR="009323E9" w:rsidRPr="00CD7C84" w:rsidRDefault="009323E9" w:rsidP="00A37498">
      <w:pPr>
        <w:spacing w:line="480" w:lineRule="auto"/>
        <w:ind w:right="-35"/>
        <w:jc w:val="both"/>
        <w:rPr>
          <w:rFonts w:ascii="Bookman Old Style" w:hAnsi="Bookman Old Style" w:cs="Arial"/>
          <w:sz w:val="28"/>
          <w:szCs w:val="28"/>
          <w:lang w:val="el-GR"/>
        </w:rPr>
      </w:pPr>
      <w:r w:rsidRPr="00CD7C84">
        <w:rPr>
          <w:rFonts w:ascii="Bookman Old Style" w:hAnsi="Bookman Old Style" w:cs="Arial"/>
          <w:sz w:val="28"/>
          <w:szCs w:val="28"/>
          <w:lang w:val="el-GR"/>
        </w:rPr>
        <w:t xml:space="preserve">Μέσω του </w:t>
      </w:r>
      <w:r w:rsidRPr="00CD7C84">
        <w:rPr>
          <w:rFonts w:ascii="Bookman Old Style" w:hAnsi="Bookman Old Style" w:cs="Arial"/>
          <w:b/>
          <w:bCs/>
          <w:sz w:val="28"/>
          <w:szCs w:val="28"/>
          <w:lang w:val="el-GR"/>
        </w:rPr>
        <w:t>2</w:t>
      </w:r>
      <w:r w:rsidRPr="00CD7C84">
        <w:rPr>
          <w:rFonts w:ascii="Bookman Old Style" w:hAnsi="Bookman Old Style" w:cs="Arial"/>
          <w:b/>
          <w:bCs/>
          <w:sz w:val="28"/>
          <w:szCs w:val="28"/>
          <w:vertAlign w:val="superscript"/>
          <w:lang w:val="el-GR"/>
        </w:rPr>
        <w:t>ου</w:t>
      </w:r>
      <w:r w:rsidRPr="00CD7C84">
        <w:rPr>
          <w:rFonts w:ascii="Bookman Old Style" w:hAnsi="Bookman Old Style" w:cs="Arial"/>
          <w:b/>
          <w:bCs/>
          <w:sz w:val="28"/>
          <w:szCs w:val="28"/>
          <w:lang w:val="el-GR"/>
        </w:rPr>
        <w:t xml:space="preserve"> Λόγου Έφεσης</w:t>
      </w:r>
      <w:r w:rsidRPr="00CD7C84">
        <w:rPr>
          <w:rFonts w:ascii="Bookman Old Style" w:hAnsi="Bookman Old Style" w:cs="Arial"/>
          <w:sz w:val="28"/>
          <w:szCs w:val="28"/>
          <w:lang w:val="el-GR"/>
        </w:rPr>
        <w:t xml:space="preserve"> η </w:t>
      </w:r>
      <w:proofErr w:type="spellStart"/>
      <w:r w:rsidRPr="00CD7C84">
        <w:rPr>
          <w:rFonts w:ascii="Bookman Old Style" w:hAnsi="Bookman Old Style" w:cs="Arial"/>
          <w:sz w:val="28"/>
          <w:szCs w:val="28"/>
          <w:lang w:val="el-GR"/>
        </w:rPr>
        <w:t>Εφεσείουσα</w:t>
      </w:r>
      <w:proofErr w:type="spellEnd"/>
      <w:r w:rsidRPr="00CD7C84">
        <w:rPr>
          <w:rFonts w:ascii="Bookman Old Style" w:hAnsi="Bookman Old Style" w:cs="Arial"/>
          <w:sz w:val="28"/>
          <w:szCs w:val="28"/>
          <w:lang w:val="el-GR"/>
        </w:rPr>
        <w:t xml:space="preserve"> παραπονείται ότι το πρωτόδικο Δικαστήριο</w:t>
      </w:r>
      <w:r w:rsidR="003743D5">
        <w:rPr>
          <w:rFonts w:ascii="Bookman Old Style" w:hAnsi="Bookman Old Style" w:cs="Arial"/>
          <w:sz w:val="28"/>
          <w:szCs w:val="28"/>
          <w:lang w:val="el-GR"/>
        </w:rPr>
        <w:t>,</w:t>
      </w:r>
      <w:r w:rsidRPr="00CD7C84">
        <w:rPr>
          <w:rFonts w:ascii="Bookman Old Style" w:hAnsi="Bookman Old Style" w:cs="Arial"/>
          <w:sz w:val="28"/>
          <w:szCs w:val="28"/>
          <w:lang w:val="el-GR"/>
        </w:rPr>
        <w:t xml:space="preserve"> στην απουσία οποιουδήποτε </w:t>
      </w:r>
      <w:proofErr w:type="spellStart"/>
      <w:r w:rsidRPr="00CD7C84">
        <w:rPr>
          <w:rFonts w:ascii="Bookman Old Style" w:hAnsi="Bookman Old Style" w:cs="Arial"/>
          <w:sz w:val="28"/>
          <w:szCs w:val="28"/>
          <w:lang w:val="el-GR"/>
        </w:rPr>
        <w:t>δικογραφημένου</w:t>
      </w:r>
      <w:proofErr w:type="spellEnd"/>
      <w:r w:rsidRPr="00CD7C84">
        <w:rPr>
          <w:rFonts w:ascii="Bookman Old Style" w:hAnsi="Bookman Old Style" w:cs="Arial"/>
          <w:sz w:val="28"/>
          <w:szCs w:val="28"/>
          <w:lang w:val="el-GR"/>
        </w:rPr>
        <w:t xml:space="preserve"> ισχυρισμού</w:t>
      </w:r>
      <w:r w:rsidR="003743D5">
        <w:rPr>
          <w:rFonts w:ascii="Bookman Old Style" w:hAnsi="Bookman Old Style" w:cs="Arial"/>
          <w:sz w:val="28"/>
          <w:szCs w:val="28"/>
          <w:lang w:val="el-GR"/>
        </w:rPr>
        <w:t>,</w:t>
      </w:r>
      <w:r w:rsidRPr="00CD7C84">
        <w:rPr>
          <w:rFonts w:ascii="Bookman Old Style" w:hAnsi="Bookman Old Style" w:cs="Arial"/>
          <w:sz w:val="28"/>
          <w:szCs w:val="28"/>
          <w:lang w:val="el-GR"/>
        </w:rPr>
        <w:t xml:space="preserve"> κατέληξε σε δύο εντελώς αυθαίρετα ευρήματα επί των οποίων βασίστηκε, όπως υποστηρίχθηκε, κατά μεγάλο βαθμό, η Απόφαση. Το πρώτο αφορά την αναφορά του πρωτόδικου Δικαστηρίου ότι ενδεχομένως να έγιναν και άλλες πληρωμές από την Εφεσίβλητη, οι οποίες να μην πιστώθηκαν στο λογαριασμό της και τούτο παρά το γεγονός ότι τέτοιος ισχυρισμός ούτε προβλήθηκε από την Εφεσίβλητη, ούτε </w:t>
      </w:r>
      <w:proofErr w:type="spellStart"/>
      <w:r w:rsidRPr="00CD7C84">
        <w:rPr>
          <w:rFonts w:ascii="Bookman Old Style" w:hAnsi="Bookman Old Style" w:cs="Arial"/>
          <w:sz w:val="28"/>
          <w:szCs w:val="28"/>
          <w:lang w:val="el-GR"/>
        </w:rPr>
        <w:t>δικογραφήθηκε</w:t>
      </w:r>
      <w:proofErr w:type="spellEnd"/>
      <w:r w:rsidRPr="00CD7C84">
        <w:rPr>
          <w:rFonts w:ascii="Bookman Old Style" w:hAnsi="Bookman Old Style" w:cs="Arial"/>
          <w:sz w:val="28"/>
          <w:szCs w:val="28"/>
          <w:lang w:val="el-GR"/>
        </w:rPr>
        <w:t xml:space="preserve">. </w:t>
      </w:r>
    </w:p>
    <w:p w14:paraId="4BDD4E06" w14:textId="77777777" w:rsidR="009529B8" w:rsidRPr="00CD7C84" w:rsidRDefault="009529B8" w:rsidP="00A37498">
      <w:pPr>
        <w:spacing w:line="480" w:lineRule="auto"/>
        <w:ind w:right="-35"/>
        <w:jc w:val="both"/>
        <w:rPr>
          <w:rFonts w:ascii="Bookman Old Style" w:hAnsi="Bookman Old Style" w:cs="Arial"/>
          <w:sz w:val="28"/>
          <w:szCs w:val="28"/>
          <w:lang w:val="el-GR"/>
        </w:rPr>
      </w:pPr>
    </w:p>
    <w:p w14:paraId="1EB3B1B0" w14:textId="5340B022" w:rsidR="009529B8" w:rsidRDefault="009529B8" w:rsidP="00A37498">
      <w:pPr>
        <w:spacing w:line="480" w:lineRule="auto"/>
        <w:ind w:right="-35"/>
        <w:jc w:val="both"/>
        <w:rPr>
          <w:rFonts w:ascii="Bookman Old Style" w:hAnsi="Bookman Old Style" w:cs="Arial"/>
          <w:sz w:val="28"/>
          <w:szCs w:val="28"/>
          <w:lang w:val="el-GR"/>
        </w:rPr>
      </w:pPr>
      <w:r w:rsidRPr="00CD7C84">
        <w:rPr>
          <w:rFonts w:ascii="Bookman Old Style" w:hAnsi="Bookman Old Style" w:cs="Arial"/>
          <w:sz w:val="28"/>
          <w:szCs w:val="28"/>
          <w:lang w:val="el-GR"/>
        </w:rPr>
        <w:t xml:space="preserve">Εν </w:t>
      </w:r>
      <w:proofErr w:type="spellStart"/>
      <w:r w:rsidRPr="00CD7C84">
        <w:rPr>
          <w:rFonts w:ascii="Bookman Old Style" w:hAnsi="Bookman Old Style" w:cs="Arial"/>
          <w:sz w:val="28"/>
          <w:szCs w:val="28"/>
          <w:lang w:val="el-GR"/>
        </w:rPr>
        <w:t>πρώτοις</w:t>
      </w:r>
      <w:proofErr w:type="spellEnd"/>
      <w:r w:rsidRPr="00CD7C84">
        <w:rPr>
          <w:rFonts w:ascii="Bookman Old Style" w:hAnsi="Bookman Old Style" w:cs="Arial"/>
          <w:sz w:val="28"/>
          <w:szCs w:val="28"/>
          <w:lang w:val="el-GR"/>
        </w:rPr>
        <w:t xml:space="preserve"> και σε συμφωνία με τα όσα υποστήριξε η πλευρά της Εφεσίβλητης, το πρωτόδικο Δικαστήριο ούτε αποφάσισε, ούτε διατύπωσε εύρημα ότι έγιναν και άλλες πληρωμές από την Εφεσίβλητη έναντι του οφειλόμενου χρέους. </w:t>
      </w:r>
      <w:r w:rsidR="00D2154C" w:rsidRPr="00CD7C84">
        <w:rPr>
          <w:rFonts w:ascii="Bookman Old Style" w:hAnsi="Bookman Old Style" w:cs="Arial"/>
          <w:sz w:val="28"/>
          <w:szCs w:val="28"/>
          <w:lang w:val="el-GR"/>
        </w:rPr>
        <w:t>Η σχετική αναφορά του πρωτόδικου Δικαστηρίου έγινε στο πλαίσιο εξέτασης της αξιοπιστίας της μαρτυρίας του Μ.Ε.1 και των αντιφάσεων στις οποίες αυτός υπέπεσε, όπου το Δικαστήριο ανέφερε τα πιο κάτω:</w:t>
      </w:r>
      <w:r w:rsidR="00CD7C84">
        <w:rPr>
          <w:rFonts w:ascii="Arial" w:hAnsi="Arial" w:cs="Arial"/>
          <w:sz w:val="28"/>
          <w:szCs w:val="28"/>
          <w:lang w:val="el-GR"/>
        </w:rPr>
        <w:t xml:space="preserve"> </w:t>
      </w:r>
      <w:r w:rsidR="00CD7C84" w:rsidRPr="00CD7C84">
        <w:rPr>
          <w:rFonts w:ascii="Bookman Old Style" w:hAnsi="Bookman Old Style" w:cs="Arial"/>
          <w:i/>
          <w:iCs/>
          <w:sz w:val="28"/>
          <w:szCs w:val="28"/>
          <w:lang w:val="el-GR"/>
        </w:rPr>
        <w:t xml:space="preserve">«Πέραν από την προφανή αντίφαση ανακύπτει και το εξής, καίριας σημασίας ερώτημα: δεδομένης της έμμεσης ομολογίας του διευθυντή των εναγόντων ότι μπορεί να υπήρξαν και άλλες φορές που η εναγόμενη εξέδωσε επιταγή στο όνομά του έναντι των οφειλών της προς τους ενάγοντες σε συνδυασμό και με το γεγονός, ότι, αυτή, ουδέποτε αποδέχθηκε το κατ' ισχυρισμό των εναγόντων χρεωστικό υπόλοιπο που δεικνύει η κατάσταση λογαριασμού που οι ενάγοντες τηρούσαν για τις μεταξύ τους επίδικες συναλλαγές και δοσοληψίες (ούτε με τα δικόγραφά τους ισχυρίζονται κάτι τέτοιο) διερωτώμαι ειλικρινά, πώς μπορώ να θεωρήσω ως ορθό, αληθινό και πραγματικά οφειλόμενο το ποσό που δεικνύει η επίδικη κατάσταση λογαριασμού, την οποία ετοίμασαν μονομερώς οι ενάγοντες, τη στιγμή που δεν αποκλείεται η εναγόμενη να προέβη και σε διάφορες άλλες πληρωμές σ' αυτούς με επιταγή ή επιταγές, οι οποίες, ωστόσο, επειδή έτσι ήθελε ο διευθυντής </w:t>
      </w:r>
      <w:r w:rsidR="00E84F44">
        <w:rPr>
          <w:rFonts w:ascii="Bookman Old Style" w:hAnsi="Bookman Old Style" w:cs="Arial"/>
          <w:i/>
          <w:iCs/>
          <w:sz w:val="28"/>
          <w:szCs w:val="28"/>
          <w:lang w:val="el-GR"/>
        </w:rPr>
        <w:t>τους,</w:t>
      </w:r>
      <w:r w:rsidR="00CD7C84" w:rsidRPr="00CD7C84">
        <w:rPr>
          <w:rFonts w:ascii="Bookman Old Style" w:hAnsi="Bookman Old Style" w:cs="Arial"/>
          <w:i/>
          <w:iCs/>
          <w:sz w:val="28"/>
          <w:szCs w:val="28"/>
          <w:lang w:val="el-GR"/>
        </w:rPr>
        <w:t xml:space="preserve"> εκδόθηκαν και </w:t>
      </w:r>
      <w:proofErr w:type="spellStart"/>
      <w:r w:rsidR="00CD7C84" w:rsidRPr="00CD7C84">
        <w:rPr>
          <w:rFonts w:ascii="Bookman Old Style" w:hAnsi="Bookman Old Style" w:cs="Arial"/>
          <w:i/>
          <w:iCs/>
          <w:sz w:val="28"/>
          <w:szCs w:val="28"/>
          <w:lang w:val="el-GR"/>
        </w:rPr>
        <w:t>πάλιν</w:t>
      </w:r>
      <w:proofErr w:type="spellEnd"/>
      <w:r w:rsidR="00CD7C84" w:rsidRPr="00CD7C84">
        <w:rPr>
          <w:rFonts w:ascii="Bookman Old Style" w:hAnsi="Bookman Old Style" w:cs="Arial"/>
          <w:i/>
          <w:iCs/>
          <w:sz w:val="28"/>
          <w:szCs w:val="28"/>
          <w:lang w:val="el-GR"/>
        </w:rPr>
        <w:t xml:space="preserve"> στο όνομά του και κατατέθηκαν σε προσωπικό του λογαριασμό, αντί να εκδοθούν και κυρίως να κατατεθούν στον επίδικο λογαριασμό της εναγόμενης και να λογιστούν έναντι του χρέους της προς τους ενάγοντες;</w:t>
      </w:r>
      <w:r w:rsidR="00CD7C84">
        <w:rPr>
          <w:rFonts w:ascii="Bookman Old Style" w:hAnsi="Bookman Old Style" w:cs="Arial"/>
          <w:sz w:val="28"/>
          <w:szCs w:val="28"/>
          <w:lang w:val="el-GR"/>
        </w:rPr>
        <w:t>»</w:t>
      </w:r>
      <w:r w:rsidR="007E43A8" w:rsidRPr="007E43A8">
        <w:rPr>
          <w:rFonts w:ascii="Bookman Old Style" w:hAnsi="Bookman Old Style" w:cs="Arial"/>
          <w:sz w:val="28"/>
          <w:szCs w:val="28"/>
          <w:lang w:val="el-GR"/>
        </w:rPr>
        <w:t xml:space="preserve"> </w:t>
      </w:r>
    </w:p>
    <w:p w14:paraId="1B8C2C11" w14:textId="77777777" w:rsidR="007E43A8" w:rsidRDefault="007E43A8" w:rsidP="00A37498">
      <w:pPr>
        <w:spacing w:line="480" w:lineRule="auto"/>
        <w:ind w:right="-35"/>
        <w:jc w:val="both"/>
        <w:rPr>
          <w:rFonts w:ascii="Bookman Old Style" w:hAnsi="Bookman Old Style" w:cs="Arial"/>
          <w:sz w:val="28"/>
          <w:szCs w:val="28"/>
          <w:lang w:val="el-GR"/>
        </w:rPr>
      </w:pPr>
    </w:p>
    <w:p w14:paraId="251B6143" w14:textId="5A1FD3B5" w:rsidR="007E43A8" w:rsidRDefault="007E43A8" w:rsidP="00A3749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δεύτερο</w:t>
      </w:r>
      <w:r w:rsidR="00E84F44">
        <w:rPr>
          <w:rFonts w:ascii="Bookman Old Style" w:hAnsi="Bookman Old Style" w:cs="Arial"/>
          <w:sz w:val="28"/>
          <w:szCs w:val="28"/>
          <w:lang w:val="el-GR"/>
        </w:rPr>
        <w:t xml:space="preserve"> α</w:t>
      </w:r>
      <w:r>
        <w:rPr>
          <w:rFonts w:ascii="Bookman Old Style" w:hAnsi="Bookman Old Style" w:cs="Arial"/>
          <w:sz w:val="28"/>
          <w:szCs w:val="28"/>
          <w:lang w:val="el-GR"/>
        </w:rPr>
        <w:t>υθαίρετο</w:t>
      </w:r>
      <w:r w:rsidR="00E84F44">
        <w:rPr>
          <w:rFonts w:ascii="Bookman Old Style" w:hAnsi="Bookman Old Style" w:cs="Arial"/>
          <w:sz w:val="28"/>
          <w:szCs w:val="28"/>
          <w:lang w:val="el-GR"/>
        </w:rPr>
        <w:t xml:space="preserve">, κατά την </w:t>
      </w:r>
      <w:proofErr w:type="spellStart"/>
      <w:r w:rsidR="00E84F44">
        <w:rPr>
          <w:rFonts w:ascii="Bookman Old Style" w:hAnsi="Bookman Old Style" w:cs="Arial"/>
          <w:sz w:val="28"/>
          <w:szCs w:val="28"/>
          <w:lang w:val="el-GR"/>
        </w:rPr>
        <w:t>Εφεσείουσα</w:t>
      </w:r>
      <w:proofErr w:type="spellEnd"/>
      <w:r w:rsidR="00E84F44">
        <w:rPr>
          <w:rFonts w:ascii="Bookman Old Style" w:hAnsi="Bookman Old Style" w:cs="Arial"/>
          <w:sz w:val="28"/>
          <w:szCs w:val="28"/>
          <w:lang w:val="el-GR"/>
        </w:rPr>
        <w:t>,</w:t>
      </w:r>
      <w:r>
        <w:rPr>
          <w:rFonts w:ascii="Bookman Old Style" w:hAnsi="Bookman Old Style" w:cs="Arial"/>
          <w:sz w:val="28"/>
          <w:szCs w:val="28"/>
          <w:lang w:val="el-GR"/>
        </w:rPr>
        <w:t xml:space="preserve"> εύρημα του πρωτόδικου Δικαστηρίου είναι ότι δεν αποδείχτηκε ότι τα υπογραμμένα τιμολόγια και/ή δελτία αποστολής είχαν υπογραφεί από εξουσιοδοτημένο από την Εφεσίβλητη πρόσωπο, ενώ η ίδια η Εφεσίβλητη είχε αναγνωρίσει την υπογραφή του νόμιμου αντιπρόσωπου της επί τουλάχιστον επτά δελτί</w:t>
      </w:r>
      <w:r w:rsidR="004A0D43">
        <w:rPr>
          <w:rFonts w:ascii="Bookman Old Style" w:hAnsi="Bookman Old Style" w:cs="Arial"/>
          <w:sz w:val="28"/>
          <w:szCs w:val="28"/>
          <w:lang w:val="el-GR"/>
        </w:rPr>
        <w:t>ων</w:t>
      </w:r>
      <w:r>
        <w:rPr>
          <w:rFonts w:ascii="Bookman Old Style" w:hAnsi="Bookman Old Style" w:cs="Arial"/>
          <w:sz w:val="28"/>
          <w:szCs w:val="28"/>
          <w:lang w:val="el-GR"/>
        </w:rPr>
        <w:t xml:space="preserve"> αποστολής.</w:t>
      </w:r>
    </w:p>
    <w:p w14:paraId="75AB7F84" w14:textId="77777777" w:rsidR="00401427" w:rsidRDefault="00401427" w:rsidP="00A37498">
      <w:pPr>
        <w:spacing w:line="480" w:lineRule="auto"/>
        <w:ind w:right="-35"/>
        <w:jc w:val="both"/>
        <w:rPr>
          <w:rFonts w:ascii="Bookman Old Style" w:hAnsi="Bookman Old Style" w:cs="Arial"/>
          <w:sz w:val="28"/>
          <w:szCs w:val="28"/>
          <w:lang w:val="el-GR"/>
        </w:rPr>
      </w:pPr>
    </w:p>
    <w:p w14:paraId="43E82ABE" w14:textId="1C9EEF4C" w:rsidR="008C208A" w:rsidRDefault="00401427" w:rsidP="00A3749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Και αυτό το ζήτημα ορθώς εξετάστηκε από το πρωτόδικο Δικαστήριο στο πλαίσιο της αξιολόγησης της αξιοπιστίας των μαρτύρων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Συγκεκριμένα, αυτό που το πρωτόδικο Δικαστήριο αξιολόγησε ήταν ότι</w:t>
      </w:r>
      <w:r w:rsidR="004A0D43">
        <w:rPr>
          <w:rFonts w:ascii="Bookman Old Style" w:hAnsi="Bookman Old Style" w:cs="Arial"/>
          <w:sz w:val="28"/>
          <w:szCs w:val="28"/>
          <w:lang w:val="el-GR"/>
        </w:rPr>
        <w:t>,</w:t>
      </w:r>
      <w:r>
        <w:rPr>
          <w:rFonts w:ascii="Bookman Old Style" w:hAnsi="Bookman Old Style" w:cs="Arial"/>
          <w:sz w:val="28"/>
          <w:szCs w:val="28"/>
          <w:lang w:val="el-GR"/>
        </w:rPr>
        <w:t xml:space="preserve"> παρά τη θέση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ότι τα υλικά παραδίδονταν στην οικοδομή της Εφεσίβλητης με σχετικό δελτίο αποστολής και αφού αυτά παραλαμβάνονταν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εξέδιδε σχετικό τιμολόγιο, εντούτοις, σε απάντηση στην υποβολή ότι τα δελτία αποστολής με εξαίρεση λίγα, ουδέποτε υπογράφηκαν από την Εφεσίβλητη ή από το νόμιμο εκπρόσωπό της, ο Μ.Ε.1 είχε αναφέρει «</w:t>
      </w:r>
      <w:r>
        <w:rPr>
          <w:rFonts w:ascii="Bookman Old Style" w:hAnsi="Bookman Old Style" w:cs="Arial"/>
          <w:i/>
          <w:iCs/>
          <w:sz w:val="28"/>
          <w:szCs w:val="28"/>
          <w:lang w:val="el-GR"/>
        </w:rPr>
        <w:t>ό,τι έχω παραδώσει έχουν βγει δελτία αποστολής</w:t>
      </w:r>
      <w:r>
        <w:rPr>
          <w:rFonts w:ascii="Bookman Old Style" w:hAnsi="Bookman Old Style" w:cs="Arial"/>
          <w:sz w:val="28"/>
          <w:szCs w:val="28"/>
          <w:lang w:val="el-GR"/>
        </w:rPr>
        <w:t>». Υπό αυτά τα δεδομένα, το συμπέρασμα του πρωτόδικου Δικαστηρίου να θεωρήσει τη θέση του Μ.Ε.1 ως μία ακόμα αντίφαση, ήταν εύλογα επιτρεπτό, αφού αριθμός τιμολογίων που είχαν κατατεθεί δεν συνοδεύονταν από σχετικό δελτίο αποστολής, καθώς και το ότι τα τιμολόγια και δελτία αποστολής δεν ήταν υπογεγραμμένα από τον παραλήπτη.</w:t>
      </w:r>
      <w:r w:rsidR="0097108C">
        <w:rPr>
          <w:rFonts w:ascii="Bookman Old Style" w:hAnsi="Bookman Old Style" w:cs="Arial"/>
          <w:sz w:val="28"/>
          <w:szCs w:val="28"/>
          <w:lang w:val="el-GR"/>
        </w:rPr>
        <w:t xml:space="preserve"> </w:t>
      </w:r>
    </w:p>
    <w:p w14:paraId="53438BD1" w14:textId="30925166" w:rsidR="00661A31" w:rsidRPr="00661A31" w:rsidRDefault="00661A31" w:rsidP="00661A31">
      <w:pPr>
        <w:spacing w:line="480" w:lineRule="auto"/>
        <w:ind w:right="-35"/>
        <w:jc w:val="both"/>
        <w:rPr>
          <w:rFonts w:ascii="Bookman Old Style" w:hAnsi="Bookman Old Style" w:cs="Arial"/>
          <w:sz w:val="28"/>
          <w:szCs w:val="28"/>
          <w:lang w:val="el-GR"/>
        </w:rPr>
      </w:pPr>
      <w:r w:rsidRPr="00661A31">
        <w:rPr>
          <w:rFonts w:ascii="Bookman Old Style" w:hAnsi="Bookman Old Style" w:cs="Arial"/>
          <w:sz w:val="28"/>
          <w:szCs w:val="28"/>
          <w:lang w:val="el-GR"/>
        </w:rPr>
        <w:t>Έχουμε εξετάσει τα σημεία στα οποία η συνήγορος τ</w:t>
      </w:r>
      <w:r>
        <w:rPr>
          <w:rFonts w:ascii="Bookman Old Style" w:hAnsi="Bookman Old Style" w:cs="Arial"/>
          <w:sz w:val="28"/>
          <w:szCs w:val="28"/>
          <w:lang w:val="el-GR"/>
        </w:rPr>
        <w:t>ης</w:t>
      </w:r>
      <w:r w:rsidRPr="00661A31">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Ε</w:t>
      </w:r>
      <w:r w:rsidRPr="00661A31">
        <w:rPr>
          <w:rFonts w:ascii="Bookman Old Style" w:hAnsi="Bookman Old Style" w:cs="Arial"/>
          <w:sz w:val="28"/>
          <w:szCs w:val="28"/>
          <w:lang w:val="el-GR"/>
        </w:rPr>
        <w:t>φεσείο</w:t>
      </w:r>
      <w:r>
        <w:rPr>
          <w:rFonts w:ascii="Bookman Old Style" w:hAnsi="Bookman Old Style" w:cs="Arial"/>
          <w:sz w:val="28"/>
          <w:szCs w:val="28"/>
          <w:lang w:val="el-GR"/>
        </w:rPr>
        <w:t>υσας</w:t>
      </w:r>
      <w:proofErr w:type="spellEnd"/>
      <w:r w:rsidRPr="00661A31">
        <w:rPr>
          <w:rFonts w:ascii="Bookman Old Style" w:hAnsi="Bookman Old Style" w:cs="Arial"/>
          <w:sz w:val="28"/>
          <w:szCs w:val="28"/>
          <w:lang w:val="el-GR"/>
        </w:rPr>
        <w:t xml:space="preserve"> μας παρέπεμψε και έχουμε διεξέλθει τη μαρτυρία στο σύνολό της. Δε διαπιστώνουμε λόγο, που να δικαιολογεί επέμβασή μας για ανατροπή των διαπιστώσεων σε σχέση με την αξιολόγηση της μαρτυρίας. Τα όσα η συνήγορος επικαλέστηκε δεν αποτελούν παρά αποσπασματικές αναφορές οι οποίες, όμως, δεν αξιολογούνται κατ’ απομόνωση αλλά στο πλαίσιο του συνόλου της μαρτυρίας.</w:t>
      </w:r>
    </w:p>
    <w:p w14:paraId="47C10758" w14:textId="77777777" w:rsidR="00661A31" w:rsidRPr="00661A31" w:rsidRDefault="00661A31" w:rsidP="00A37498">
      <w:pPr>
        <w:spacing w:line="480" w:lineRule="auto"/>
        <w:ind w:right="-35"/>
        <w:jc w:val="both"/>
        <w:rPr>
          <w:rFonts w:ascii="Bookman Old Style" w:hAnsi="Bookman Old Style" w:cs="Arial"/>
          <w:sz w:val="28"/>
          <w:szCs w:val="28"/>
          <w:lang w:val="el-GR"/>
        </w:rPr>
      </w:pPr>
    </w:p>
    <w:p w14:paraId="2B8E0615" w14:textId="71A8DDF7" w:rsidR="00661A31" w:rsidRDefault="00661A31" w:rsidP="00661A31">
      <w:pPr>
        <w:spacing w:line="480" w:lineRule="auto"/>
        <w:ind w:right="-35"/>
        <w:jc w:val="both"/>
        <w:rPr>
          <w:rFonts w:ascii="Bookman Old Style" w:hAnsi="Bookman Old Style" w:cs="Arial"/>
          <w:sz w:val="28"/>
          <w:szCs w:val="28"/>
          <w:lang w:val="el-GR"/>
        </w:rPr>
      </w:pPr>
      <w:r w:rsidRPr="00661A31">
        <w:rPr>
          <w:rFonts w:ascii="Bookman Old Style" w:hAnsi="Bookman Old Style" w:cs="Arial"/>
          <w:sz w:val="28"/>
          <w:szCs w:val="28"/>
          <w:lang w:val="el-GR"/>
        </w:rPr>
        <w:t xml:space="preserve">Υπό το φως των πιο πάνω αρχών ενδιατρίψαμε στα όσα περιβάλλουν την υπό κρίση </w:t>
      </w:r>
      <w:r>
        <w:rPr>
          <w:rFonts w:ascii="Bookman Old Style" w:hAnsi="Bookman Old Style" w:cs="Arial"/>
          <w:sz w:val="28"/>
          <w:szCs w:val="28"/>
          <w:lang w:val="el-GR"/>
        </w:rPr>
        <w:t>Έ</w:t>
      </w:r>
      <w:r w:rsidRPr="00661A31">
        <w:rPr>
          <w:rFonts w:ascii="Bookman Old Style" w:hAnsi="Bookman Old Style" w:cs="Arial"/>
          <w:sz w:val="28"/>
          <w:szCs w:val="28"/>
          <w:lang w:val="el-GR"/>
        </w:rPr>
        <w:t>φεση. Δεν διαπιστώνουμε οποιοδήποτε σφάλμα, ικανό να ενεργοποιήσει την εξουσία μας προς παρέμβαση στον τρόπο αξιολόγησης και στα συμπεράσματα στα οποία κατέληξε το πρωτόδικο Δικαστήριο. Η μαρτυρία που πρόσφερε η</w:t>
      </w:r>
      <w:r>
        <w:rPr>
          <w:rFonts w:ascii="Bookman Old Style" w:hAnsi="Bookman Old Style" w:cs="Arial"/>
          <w:sz w:val="28"/>
          <w:szCs w:val="28"/>
          <w:lang w:val="el-GR"/>
        </w:rPr>
        <w:t xml:space="preserve"> πλευρά της</w:t>
      </w:r>
      <w:r w:rsidRPr="00661A31">
        <w:rPr>
          <w:rFonts w:ascii="Bookman Old Style" w:hAnsi="Bookman Old Style" w:cs="Arial"/>
          <w:sz w:val="28"/>
          <w:szCs w:val="28"/>
          <w:lang w:val="el-GR"/>
        </w:rPr>
        <w:t xml:space="preserve"> </w:t>
      </w:r>
      <w:proofErr w:type="spellStart"/>
      <w:r w:rsidRPr="00661A31">
        <w:rPr>
          <w:rFonts w:ascii="Bookman Old Style" w:hAnsi="Bookman Old Style" w:cs="Arial"/>
          <w:sz w:val="28"/>
          <w:szCs w:val="28"/>
          <w:lang w:val="el-GR"/>
        </w:rPr>
        <w:t>Εφεσείουσα</w:t>
      </w:r>
      <w:r>
        <w:rPr>
          <w:rFonts w:ascii="Bookman Old Style" w:hAnsi="Bookman Old Style" w:cs="Arial"/>
          <w:sz w:val="28"/>
          <w:szCs w:val="28"/>
          <w:lang w:val="el-GR"/>
        </w:rPr>
        <w:t>ς</w:t>
      </w:r>
      <w:proofErr w:type="spellEnd"/>
      <w:r>
        <w:rPr>
          <w:rFonts w:ascii="Bookman Old Style" w:hAnsi="Bookman Old Style" w:cs="Arial"/>
          <w:sz w:val="28"/>
          <w:szCs w:val="28"/>
          <w:lang w:val="el-GR"/>
        </w:rPr>
        <w:t xml:space="preserve"> μέσω των δύο της μαρτύρων, Μ.Ε.1 και Μ.Ε.2,</w:t>
      </w:r>
      <w:r w:rsidRPr="00661A31">
        <w:rPr>
          <w:rFonts w:ascii="Bookman Old Style" w:hAnsi="Bookman Old Style" w:cs="Arial"/>
          <w:sz w:val="28"/>
          <w:szCs w:val="28"/>
          <w:lang w:val="el-GR"/>
        </w:rPr>
        <w:t xml:space="preserve"> κρίθηκε αναξιόπιστη για βάσιμους λόγους. Το γεγονός αυτό αναπόδραστα οδήγησε και στην απόρριψη της απαίτησης</w:t>
      </w:r>
      <w:r w:rsidR="002F0461">
        <w:rPr>
          <w:rFonts w:ascii="Bookman Old Style" w:hAnsi="Bookman Old Style" w:cs="Arial"/>
          <w:sz w:val="28"/>
          <w:szCs w:val="28"/>
          <w:lang w:val="el-GR"/>
        </w:rPr>
        <w:t xml:space="preserve"> της </w:t>
      </w:r>
      <w:proofErr w:type="spellStart"/>
      <w:r w:rsidR="002F0461">
        <w:rPr>
          <w:rFonts w:ascii="Bookman Old Style" w:hAnsi="Bookman Old Style" w:cs="Arial"/>
          <w:sz w:val="28"/>
          <w:szCs w:val="28"/>
          <w:lang w:val="el-GR"/>
        </w:rPr>
        <w:t>Εφεσείουσας</w:t>
      </w:r>
      <w:proofErr w:type="spellEnd"/>
      <w:r w:rsidR="002F0461">
        <w:rPr>
          <w:rFonts w:ascii="Bookman Old Style" w:hAnsi="Bookman Old Style" w:cs="Arial"/>
          <w:sz w:val="28"/>
          <w:szCs w:val="28"/>
          <w:lang w:val="el-GR"/>
        </w:rPr>
        <w:t xml:space="preserve">, η οποία έφερε και το βάρος απόδειξης, </w:t>
      </w:r>
      <w:r w:rsidRPr="00661A31">
        <w:rPr>
          <w:rFonts w:ascii="Bookman Old Style" w:hAnsi="Bookman Old Style" w:cs="Arial"/>
          <w:sz w:val="28"/>
          <w:szCs w:val="28"/>
          <w:lang w:val="el-GR"/>
        </w:rPr>
        <w:t xml:space="preserve">αφού δεν θεμελιώθηκε με </w:t>
      </w:r>
      <w:r w:rsidR="00234A95">
        <w:rPr>
          <w:rFonts w:ascii="Bookman Old Style" w:hAnsi="Bookman Old Style" w:cs="Arial"/>
          <w:sz w:val="28"/>
          <w:szCs w:val="28"/>
          <w:lang w:val="el-GR"/>
        </w:rPr>
        <w:t>ικαν</w:t>
      </w:r>
      <w:r w:rsidRPr="00661A31">
        <w:rPr>
          <w:rFonts w:ascii="Bookman Old Style" w:hAnsi="Bookman Old Style" w:cs="Arial"/>
          <w:sz w:val="28"/>
          <w:szCs w:val="28"/>
          <w:lang w:val="el-GR"/>
        </w:rPr>
        <w:t xml:space="preserve">ή μαρτυρία η </w:t>
      </w:r>
      <w:proofErr w:type="spellStart"/>
      <w:r w:rsidRPr="00661A31">
        <w:rPr>
          <w:rFonts w:ascii="Bookman Old Style" w:hAnsi="Bookman Old Style" w:cs="Arial"/>
          <w:sz w:val="28"/>
          <w:szCs w:val="28"/>
          <w:lang w:val="el-GR"/>
        </w:rPr>
        <w:t>δικογραφημένη</w:t>
      </w:r>
      <w:proofErr w:type="spellEnd"/>
      <w:r w:rsidRPr="00661A31">
        <w:rPr>
          <w:rFonts w:ascii="Bookman Old Style" w:hAnsi="Bookman Old Style" w:cs="Arial"/>
          <w:sz w:val="28"/>
          <w:szCs w:val="28"/>
          <w:lang w:val="el-GR"/>
        </w:rPr>
        <w:t xml:space="preserve"> αξίωση περί ύπαρξης οφειλόμενου ποσού</w:t>
      </w:r>
      <w:r w:rsidR="002F0461">
        <w:rPr>
          <w:rFonts w:ascii="Bookman Old Style" w:hAnsi="Bookman Old Style" w:cs="Arial"/>
          <w:sz w:val="28"/>
          <w:szCs w:val="28"/>
          <w:lang w:val="el-GR"/>
        </w:rPr>
        <w:t xml:space="preserve"> (</w:t>
      </w:r>
      <w:r w:rsidR="002F0461" w:rsidRPr="002F0461">
        <w:rPr>
          <w:rFonts w:ascii="Bookman Old Style" w:hAnsi="Bookman Old Style" w:cs="Arial"/>
          <w:sz w:val="28"/>
          <w:szCs w:val="28"/>
          <w:lang w:val="el-GR"/>
        </w:rPr>
        <w:t xml:space="preserve">βλ. </w:t>
      </w:r>
      <w:proofErr w:type="spellStart"/>
      <w:r w:rsidR="002F0461" w:rsidRPr="002F0461">
        <w:rPr>
          <w:rStyle w:val="normal1"/>
          <w:rFonts w:ascii="Bookman Old Style" w:hAnsi="Bookman Old Style"/>
          <w:b/>
          <w:bCs/>
          <w:i/>
          <w:iCs/>
          <w:sz w:val="28"/>
          <w:szCs w:val="28"/>
          <w:lang w:val="el-GR"/>
        </w:rPr>
        <w:t>Popovic</w:t>
      </w:r>
      <w:proofErr w:type="spellEnd"/>
      <w:r w:rsidR="002F0461" w:rsidRPr="002F0461">
        <w:rPr>
          <w:rStyle w:val="normal1"/>
          <w:rFonts w:ascii="Bookman Old Style" w:hAnsi="Bookman Old Style"/>
          <w:b/>
          <w:bCs/>
          <w:i/>
          <w:iCs/>
          <w:sz w:val="28"/>
          <w:szCs w:val="28"/>
          <w:lang w:val="el-GR"/>
        </w:rPr>
        <w:t xml:space="preserve"> </w:t>
      </w:r>
      <w:proofErr w:type="spellStart"/>
      <w:r w:rsidR="002F0461" w:rsidRPr="002F0461">
        <w:rPr>
          <w:rStyle w:val="normal1"/>
          <w:rFonts w:ascii="Bookman Old Style" w:hAnsi="Bookman Old Style"/>
          <w:b/>
          <w:bCs/>
          <w:i/>
          <w:iCs/>
          <w:sz w:val="28"/>
          <w:szCs w:val="28"/>
          <w:lang w:val="el-GR"/>
        </w:rPr>
        <w:t>Slopodan</w:t>
      </w:r>
      <w:proofErr w:type="spellEnd"/>
      <w:r w:rsidR="002F0461" w:rsidRPr="002F0461">
        <w:rPr>
          <w:rStyle w:val="normal1"/>
          <w:rFonts w:ascii="Bookman Old Style" w:hAnsi="Bookman Old Style"/>
          <w:b/>
          <w:bCs/>
          <w:i/>
          <w:iCs/>
          <w:sz w:val="28"/>
          <w:szCs w:val="28"/>
          <w:lang w:val="el-GR"/>
        </w:rPr>
        <w:t xml:space="preserve"> </w:t>
      </w:r>
      <w:proofErr w:type="spellStart"/>
      <w:r w:rsidR="002F0461" w:rsidRPr="002F0461">
        <w:rPr>
          <w:rStyle w:val="normal1"/>
          <w:rFonts w:ascii="Bookman Old Style" w:hAnsi="Bookman Old Style"/>
          <w:b/>
          <w:bCs/>
          <w:i/>
          <w:iCs/>
          <w:sz w:val="28"/>
          <w:szCs w:val="28"/>
          <w:lang w:val="el-GR"/>
        </w:rPr>
        <w:t>Miorage</w:t>
      </w:r>
      <w:proofErr w:type="spellEnd"/>
      <w:r w:rsidR="002F0461" w:rsidRPr="002F0461">
        <w:rPr>
          <w:rFonts w:ascii="Bookman Old Style" w:hAnsi="Bookman Old Style"/>
          <w:b/>
          <w:bCs/>
          <w:i/>
          <w:iCs/>
          <w:sz w:val="28"/>
          <w:szCs w:val="28"/>
          <w:lang w:val="el-GR"/>
        </w:rPr>
        <w:t xml:space="preserve"> </w:t>
      </w:r>
      <w:r w:rsidR="002F0461" w:rsidRPr="002F0461">
        <w:rPr>
          <w:rFonts w:ascii="Bookman Old Style" w:hAnsi="Bookman Old Style"/>
          <w:b/>
          <w:bCs/>
          <w:i/>
          <w:iCs/>
          <w:sz w:val="28"/>
          <w:szCs w:val="28"/>
        </w:rPr>
        <w:t>v</w:t>
      </w:r>
      <w:r w:rsidR="002F0461" w:rsidRPr="002F0461">
        <w:rPr>
          <w:rFonts w:ascii="Bookman Old Style" w:hAnsi="Bookman Old Style"/>
          <w:b/>
          <w:bCs/>
          <w:i/>
          <w:iCs/>
          <w:sz w:val="28"/>
          <w:szCs w:val="28"/>
          <w:lang w:val="el-GR"/>
        </w:rPr>
        <w:t xml:space="preserve">. </w:t>
      </w:r>
      <w:proofErr w:type="spellStart"/>
      <w:r w:rsidR="002F0461" w:rsidRPr="002F0461">
        <w:rPr>
          <w:rStyle w:val="normal1"/>
          <w:rFonts w:ascii="Bookman Old Style" w:hAnsi="Bookman Old Style"/>
          <w:b/>
          <w:bCs/>
          <w:i/>
          <w:iCs/>
          <w:sz w:val="28"/>
          <w:szCs w:val="28"/>
          <w:lang w:val="el-GR"/>
        </w:rPr>
        <w:t>Dubranvka</w:t>
      </w:r>
      <w:proofErr w:type="spellEnd"/>
      <w:r w:rsidR="002F0461" w:rsidRPr="002F0461">
        <w:rPr>
          <w:rStyle w:val="normal1"/>
          <w:rFonts w:ascii="Bookman Old Style" w:hAnsi="Bookman Old Style"/>
          <w:b/>
          <w:bCs/>
          <w:i/>
          <w:iCs/>
          <w:sz w:val="28"/>
          <w:szCs w:val="28"/>
          <w:lang w:val="el-GR"/>
        </w:rPr>
        <w:t xml:space="preserve"> </w:t>
      </w:r>
      <w:proofErr w:type="spellStart"/>
      <w:r w:rsidR="002F0461" w:rsidRPr="002F0461">
        <w:rPr>
          <w:rStyle w:val="normal1"/>
          <w:rFonts w:ascii="Bookman Old Style" w:hAnsi="Bookman Old Style"/>
          <w:b/>
          <w:bCs/>
          <w:i/>
          <w:iCs/>
          <w:sz w:val="28"/>
          <w:szCs w:val="28"/>
          <w:lang w:val="el-GR"/>
        </w:rPr>
        <w:t>Radivojenik</w:t>
      </w:r>
      <w:proofErr w:type="spellEnd"/>
      <w:r w:rsidR="002F0461">
        <w:rPr>
          <w:rStyle w:val="normal1"/>
          <w:rFonts w:ascii="Bookman Old Style" w:hAnsi="Bookman Old Style"/>
          <w:b/>
          <w:bCs/>
          <w:i/>
          <w:iCs/>
          <w:sz w:val="28"/>
          <w:szCs w:val="28"/>
          <w:lang w:val="el-GR"/>
        </w:rPr>
        <w:t xml:space="preserve"> </w:t>
      </w:r>
      <w:r w:rsidR="002F0461" w:rsidRPr="002F0461">
        <w:rPr>
          <w:rFonts w:ascii="Bookman Old Style" w:hAnsi="Bookman Old Style" w:cs="Arial"/>
          <w:b/>
          <w:bCs/>
          <w:i/>
          <w:iCs/>
          <w:sz w:val="28"/>
          <w:szCs w:val="28"/>
          <w:lang w:val="el-GR"/>
        </w:rPr>
        <w:t>(1998) 1 Α.Α.Δ. 1162</w:t>
      </w:r>
      <w:r w:rsidR="002F0461" w:rsidRPr="002F0461">
        <w:rPr>
          <w:rFonts w:ascii="Bookman Old Style" w:hAnsi="Bookman Old Style" w:cs="Arial"/>
          <w:sz w:val="28"/>
          <w:szCs w:val="28"/>
          <w:lang w:val="el-GR"/>
        </w:rPr>
        <w:t>)</w:t>
      </w:r>
      <w:r w:rsidR="003A71D1">
        <w:rPr>
          <w:rFonts w:ascii="Bookman Old Style" w:hAnsi="Bookman Old Style" w:cs="Arial"/>
          <w:sz w:val="28"/>
          <w:szCs w:val="28"/>
          <w:lang w:val="el-GR"/>
        </w:rPr>
        <w:t>.</w:t>
      </w:r>
    </w:p>
    <w:p w14:paraId="44BEA1AA" w14:textId="77777777" w:rsidR="004D4609" w:rsidRDefault="004D4609" w:rsidP="00661A31">
      <w:pPr>
        <w:spacing w:line="480" w:lineRule="auto"/>
        <w:ind w:right="-35"/>
        <w:jc w:val="both"/>
        <w:rPr>
          <w:rFonts w:ascii="Bookman Old Style" w:hAnsi="Bookman Old Style" w:cs="Arial"/>
          <w:sz w:val="28"/>
          <w:szCs w:val="28"/>
          <w:lang w:val="el-GR"/>
        </w:rPr>
      </w:pPr>
    </w:p>
    <w:p w14:paraId="740E206F" w14:textId="79785B8F" w:rsidR="00A37498" w:rsidRDefault="004D4609" w:rsidP="004D4609">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Κατ</w:t>
      </w:r>
      <w:r w:rsidR="003743D5">
        <w:rPr>
          <w:rFonts w:ascii="Bookman Old Style" w:hAnsi="Bookman Old Style" w:cs="Arial"/>
          <w:sz w:val="28"/>
          <w:szCs w:val="28"/>
          <w:lang w:val="el-GR"/>
        </w:rPr>
        <w:t xml:space="preserve">’ </w:t>
      </w:r>
      <w:r>
        <w:rPr>
          <w:rFonts w:ascii="Bookman Old Style" w:hAnsi="Bookman Old Style" w:cs="Arial"/>
          <w:sz w:val="28"/>
          <w:szCs w:val="28"/>
          <w:lang w:val="el-GR"/>
        </w:rPr>
        <w:t>ακολουθίαν όλων των πιο πάνω, ουδείς εκ των Λόγων Έφεσης είναι βάσιμος.</w:t>
      </w:r>
    </w:p>
    <w:p w14:paraId="2884FBAC" w14:textId="77777777" w:rsidR="004D4609" w:rsidRDefault="004D4609" w:rsidP="004D4609">
      <w:pPr>
        <w:spacing w:line="480" w:lineRule="auto"/>
        <w:ind w:right="-34"/>
        <w:jc w:val="both"/>
        <w:rPr>
          <w:rFonts w:ascii="Bookman Old Style" w:hAnsi="Bookman Old Style" w:cs="Arial"/>
          <w:sz w:val="28"/>
          <w:szCs w:val="28"/>
          <w:lang w:val="el-GR"/>
        </w:rPr>
      </w:pPr>
    </w:p>
    <w:p w14:paraId="0EA432DC" w14:textId="2B91017B" w:rsidR="004D4609" w:rsidRDefault="004D4609" w:rsidP="004D4609">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Ως εκ τούτου </w:t>
      </w:r>
      <w:r w:rsidRPr="004D4609">
        <w:rPr>
          <w:rFonts w:ascii="Bookman Old Style" w:hAnsi="Bookman Old Style" w:cs="Arial"/>
          <w:b/>
          <w:bCs/>
          <w:sz w:val="28"/>
          <w:szCs w:val="28"/>
          <w:lang w:val="el-GR"/>
        </w:rPr>
        <w:t xml:space="preserve">η </w:t>
      </w:r>
      <w:r w:rsidR="00372F08" w:rsidRPr="004D4609">
        <w:rPr>
          <w:rFonts w:ascii="Bookman Old Style" w:hAnsi="Bookman Old Style" w:cs="Arial"/>
          <w:b/>
          <w:bCs/>
          <w:sz w:val="28"/>
          <w:szCs w:val="28"/>
          <w:lang w:val="el-GR"/>
        </w:rPr>
        <w:t>Έφεση</w:t>
      </w:r>
      <w:r w:rsidRPr="004D4609">
        <w:rPr>
          <w:rFonts w:ascii="Bookman Old Style" w:hAnsi="Bookman Old Style" w:cs="Arial"/>
          <w:b/>
          <w:bCs/>
          <w:sz w:val="28"/>
          <w:szCs w:val="28"/>
          <w:lang w:val="el-GR"/>
        </w:rPr>
        <w:t xml:space="preserve"> αποτυγχάνει και απορρίπτεται</w:t>
      </w:r>
      <w:r>
        <w:rPr>
          <w:rFonts w:ascii="Bookman Old Style" w:hAnsi="Bookman Old Style" w:cs="Arial"/>
          <w:sz w:val="28"/>
          <w:szCs w:val="28"/>
          <w:lang w:val="el-GR"/>
        </w:rPr>
        <w:t>.</w:t>
      </w:r>
    </w:p>
    <w:p w14:paraId="5F786803" w14:textId="77777777" w:rsidR="004D4609" w:rsidRDefault="004D4609" w:rsidP="004D4609">
      <w:pPr>
        <w:spacing w:line="480" w:lineRule="auto"/>
        <w:ind w:right="-34"/>
        <w:jc w:val="both"/>
        <w:rPr>
          <w:rFonts w:ascii="Bookman Old Style" w:hAnsi="Bookman Old Style" w:cs="Arial"/>
          <w:sz w:val="28"/>
          <w:szCs w:val="28"/>
          <w:lang w:val="el-GR"/>
        </w:rPr>
      </w:pPr>
    </w:p>
    <w:p w14:paraId="0883AE45" w14:textId="2F10693C" w:rsidR="004D4609" w:rsidRPr="009323E9" w:rsidRDefault="004D4609" w:rsidP="004D4609">
      <w:pPr>
        <w:spacing w:line="480" w:lineRule="auto"/>
        <w:ind w:right="-34"/>
        <w:jc w:val="both"/>
        <w:rPr>
          <w:rFonts w:ascii="Arial" w:hAnsi="Arial" w:cs="Arial"/>
          <w:sz w:val="28"/>
          <w:szCs w:val="28"/>
          <w:lang w:val="el-GR"/>
        </w:rPr>
      </w:pPr>
      <w:r w:rsidRPr="004D4609">
        <w:rPr>
          <w:rFonts w:ascii="Bookman Old Style" w:hAnsi="Bookman Old Style" w:cs="Arial"/>
          <w:b/>
          <w:bCs/>
          <w:sz w:val="28"/>
          <w:szCs w:val="28"/>
          <w:lang w:val="el-GR"/>
        </w:rPr>
        <w:t>Επιδικάζονται έξοδα ύψους €3000</w:t>
      </w:r>
      <w:r>
        <w:rPr>
          <w:rFonts w:ascii="Bookman Old Style" w:hAnsi="Bookman Old Style" w:cs="Arial"/>
          <w:sz w:val="28"/>
          <w:szCs w:val="28"/>
          <w:lang w:val="el-GR"/>
        </w:rPr>
        <w:t xml:space="preserve"> πλέον ΦΠΑ, αν υπάρχει, </w:t>
      </w:r>
      <w:r w:rsidRPr="004D4609">
        <w:rPr>
          <w:rFonts w:ascii="Bookman Old Style" w:hAnsi="Bookman Old Style" w:cs="Arial"/>
          <w:b/>
          <w:bCs/>
          <w:sz w:val="28"/>
          <w:szCs w:val="28"/>
          <w:lang w:val="el-GR"/>
        </w:rPr>
        <w:t xml:space="preserve">υπέρ της Εφεσίβλητης και εναντίον της </w:t>
      </w:r>
      <w:proofErr w:type="spellStart"/>
      <w:r w:rsidRPr="004D4609">
        <w:rPr>
          <w:rFonts w:ascii="Bookman Old Style" w:hAnsi="Bookman Old Style" w:cs="Arial"/>
          <w:b/>
          <w:bCs/>
          <w:sz w:val="28"/>
          <w:szCs w:val="28"/>
          <w:lang w:val="el-GR"/>
        </w:rPr>
        <w:t>Εφεσείουσας</w:t>
      </w:r>
      <w:proofErr w:type="spellEnd"/>
      <w:r>
        <w:rPr>
          <w:rFonts w:ascii="Bookman Old Style" w:hAnsi="Bookman Old Style" w:cs="Arial"/>
          <w:sz w:val="28"/>
          <w:szCs w:val="28"/>
          <w:lang w:val="el-GR"/>
        </w:rPr>
        <w:t>.</w:t>
      </w:r>
    </w:p>
    <w:p w14:paraId="1899376A" w14:textId="77777777" w:rsidR="00AD4B81" w:rsidRPr="00907AA4" w:rsidRDefault="00AD4B81" w:rsidP="004D4609">
      <w:pPr>
        <w:spacing w:line="360" w:lineRule="auto"/>
        <w:ind w:right="-34"/>
        <w:jc w:val="both"/>
        <w:rPr>
          <w:rFonts w:ascii="Arial" w:hAnsi="Arial" w:cs="Arial"/>
          <w:sz w:val="28"/>
          <w:szCs w:val="28"/>
          <w:lang w:val="el-GR"/>
        </w:rPr>
      </w:pPr>
    </w:p>
    <w:p w14:paraId="5EBB91A3" w14:textId="77777777" w:rsidR="009D6B47" w:rsidRPr="00907AA4" w:rsidRDefault="009D6B47" w:rsidP="00907AA4">
      <w:pPr>
        <w:spacing w:line="360" w:lineRule="auto"/>
        <w:ind w:right="-35"/>
        <w:jc w:val="both"/>
        <w:rPr>
          <w:rFonts w:ascii="Arial" w:hAnsi="Arial" w:cs="Arial"/>
          <w:sz w:val="28"/>
          <w:szCs w:val="28"/>
          <w:lang w:val="el-GR"/>
        </w:rPr>
      </w:pPr>
    </w:p>
    <w:p w14:paraId="5CCF128C" w14:textId="77777777" w:rsidR="002A631C" w:rsidRPr="00907AA4" w:rsidRDefault="002A631C" w:rsidP="00907AA4">
      <w:pPr>
        <w:spacing w:line="360" w:lineRule="auto"/>
        <w:ind w:right="-35"/>
        <w:jc w:val="both"/>
        <w:rPr>
          <w:rFonts w:ascii="Arial" w:hAnsi="Arial" w:cs="Arial"/>
          <w:sz w:val="28"/>
          <w:szCs w:val="28"/>
          <w:lang w:val="el-GR"/>
        </w:rPr>
      </w:pPr>
    </w:p>
    <w:p w14:paraId="0F077A20" w14:textId="77777777" w:rsidR="002A631C" w:rsidRPr="00907AA4" w:rsidRDefault="002A631C" w:rsidP="00907AA4">
      <w:pPr>
        <w:spacing w:line="360" w:lineRule="auto"/>
        <w:ind w:right="-35"/>
        <w:jc w:val="both"/>
        <w:rPr>
          <w:rFonts w:ascii="Arial" w:hAnsi="Arial" w:cs="Arial"/>
          <w:sz w:val="28"/>
          <w:szCs w:val="28"/>
          <w:lang w:val="el-GR"/>
        </w:rPr>
      </w:pPr>
    </w:p>
    <w:p w14:paraId="2CE4DB5E" w14:textId="77777777" w:rsidR="002A631C" w:rsidRPr="00D6249E" w:rsidRDefault="002A631C" w:rsidP="00D6249E">
      <w:pPr>
        <w:spacing w:line="276" w:lineRule="auto"/>
        <w:ind w:right="-35"/>
        <w:jc w:val="both"/>
        <w:rPr>
          <w:rFonts w:ascii="Bookman Old Style" w:hAnsi="Bookman Old Style" w:cs="Arial"/>
          <w:sz w:val="26"/>
          <w:szCs w:val="26"/>
          <w:lang w:val="el-GR"/>
        </w:rPr>
      </w:pPr>
    </w:p>
    <w:p w14:paraId="62C07266" w14:textId="77777777" w:rsidR="002A631C" w:rsidRPr="00D6249E" w:rsidRDefault="002A631C" w:rsidP="00D6249E">
      <w:pPr>
        <w:spacing w:line="276" w:lineRule="auto"/>
        <w:ind w:right="-35"/>
        <w:jc w:val="both"/>
        <w:rPr>
          <w:rFonts w:ascii="Bookman Old Style" w:hAnsi="Bookman Old Style" w:cs="Arial"/>
          <w:sz w:val="26"/>
          <w:szCs w:val="26"/>
          <w:lang w:val="el-GR"/>
        </w:rPr>
      </w:pPr>
    </w:p>
    <w:p w14:paraId="4E468CE3" w14:textId="77777777" w:rsidR="002A631C" w:rsidRPr="00D6249E" w:rsidRDefault="002A631C" w:rsidP="00D6249E">
      <w:pPr>
        <w:spacing w:line="276" w:lineRule="auto"/>
        <w:ind w:right="-35"/>
        <w:jc w:val="both"/>
        <w:rPr>
          <w:rFonts w:ascii="Bookman Old Style" w:hAnsi="Bookman Old Style" w:cs="Arial"/>
          <w:sz w:val="26"/>
          <w:szCs w:val="26"/>
          <w:lang w:val="el-GR"/>
        </w:rPr>
      </w:pPr>
    </w:p>
    <w:p w14:paraId="079FE528" w14:textId="77777777" w:rsidR="006A35A6" w:rsidRPr="00D6249E" w:rsidRDefault="006A35A6" w:rsidP="00D6249E">
      <w:pPr>
        <w:spacing w:line="276" w:lineRule="auto"/>
        <w:ind w:right="-35"/>
        <w:jc w:val="both"/>
        <w:rPr>
          <w:rFonts w:ascii="Bookman Old Style" w:hAnsi="Bookman Old Style" w:cs="Arial"/>
          <w:b/>
          <w:sz w:val="26"/>
          <w:szCs w:val="26"/>
          <w:lang w:val="el-GR"/>
        </w:rPr>
      </w:pPr>
    </w:p>
    <w:p w14:paraId="7BFA6782" w14:textId="23A1E7CF" w:rsidR="00661A31" w:rsidRDefault="006A35A6" w:rsidP="00D6249E">
      <w:pPr>
        <w:spacing w:line="276" w:lineRule="auto"/>
        <w:ind w:right="-35"/>
        <w:jc w:val="both"/>
        <w:rPr>
          <w:rFonts w:ascii="Bookman Old Style" w:hAnsi="Bookman Old Style" w:cs="Arial"/>
          <w:b/>
          <w:sz w:val="28"/>
          <w:szCs w:val="28"/>
          <w:lang w:val="el-GR"/>
        </w:rPr>
      </w:pPr>
      <w:r w:rsidRPr="00D6249E">
        <w:rPr>
          <w:rFonts w:ascii="Bookman Old Style" w:hAnsi="Bookman Old Style" w:cs="Arial"/>
          <w:b/>
          <w:sz w:val="26"/>
          <w:szCs w:val="26"/>
          <w:lang w:val="el-GR"/>
        </w:rPr>
        <w:tab/>
      </w:r>
      <w:r w:rsidRPr="00D6249E">
        <w:rPr>
          <w:rFonts w:ascii="Bookman Old Style" w:hAnsi="Bookman Old Style" w:cs="Arial"/>
          <w:b/>
          <w:sz w:val="26"/>
          <w:szCs w:val="26"/>
          <w:lang w:val="el-GR"/>
        </w:rPr>
        <w:tab/>
      </w:r>
      <w:r w:rsidRPr="00D6249E">
        <w:rPr>
          <w:rFonts w:ascii="Bookman Old Style" w:hAnsi="Bookman Old Style" w:cs="Arial"/>
          <w:b/>
          <w:sz w:val="26"/>
          <w:szCs w:val="26"/>
          <w:lang w:val="el-GR"/>
        </w:rPr>
        <w:tab/>
      </w:r>
      <w:r w:rsidRPr="00D6249E">
        <w:rPr>
          <w:rFonts w:ascii="Bookman Old Style" w:hAnsi="Bookman Old Style" w:cs="Arial"/>
          <w:b/>
          <w:sz w:val="26"/>
          <w:szCs w:val="26"/>
          <w:lang w:val="el-GR"/>
        </w:rPr>
        <w:tab/>
      </w:r>
      <w:r w:rsidR="00661A31">
        <w:rPr>
          <w:rFonts w:ascii="Bookman Old Style" w:hAnsi="Bookman Old Style" w:cs="Arial"/>
          <w:b/>
          <w:sz w:val="26"/>
          <w:szCs w:val="26"/>
          <w:lang w:val="el-GR"/>
        </w:rPr>
        <w:t xml:space="preserve">             </w:t>
      </w:r>
      <w:r w:rsidR="00661A31" w:rsidRPr="003743D5">
        <w:rPr>
          <w:rFonts w:ascii="Bookman Old Style" w:hAnsi="Bookman Old Style" w:cs="Arial"/>
          <w:b/>
          <w:sz w:val="28"/>
          <w:szCs w:val="28"/>
          <w:lang w:val="el-GR"/>
        </w:rPr>
        <w:t xml:space="preserve">  </w:t>
      </w:r>
      <w:r w:rsidR="00397480" w:rsidRPr="003743D5">
        <w:rPr>
          <w:rFonts w:ascii="Bookman Old Style" w:hAnsi="Bookman Old Style" w:cs="Arial"/>
          <w:b/>
          <w:sz w:val="28"/>
          <w:szCs w:val="28"/>
          <w:lang w:val="el-GR"/>
        </w:rPr>
        <w:t>Γ.Ν. ΓΙΑΣΕΜΗ</w:t>
      </w:r>
      <w:r w:rsidR="00EE19A2" w:rsidRPr="003743D5">
        <w:rPr>
          <w:rFonts w:ascii="Bookman Old Style" w:hAnsi="Bookman Old Style" w:cs="Arial"/>
          <w:b/>
          <w:sz w:val="28"/>
          <w:szCs w:val="28"/>
          <w:lang w:val="el-GR"/>
        </w:rPr>
        <w:t>Σ</w:t>
      </w:r>
      <w:r w:rsidRPr="003743D5">
        <w:rPr>
          <w:rFonts w:ascii="Bookman Old Style" w:hAnsi="Bookman Old Style" w:cs="Arial"/>
          <w:b/>
          <w:sz w:val="28"/>
          <w:szCs w:val="28"/>
          <w:lang w:val="el-GR"/>
        </w:rPr>
        <w:t>, Δ.</w:t>
      </w:r>
    </w:p>
    <w:p w14:paraId="19EF1AD9" w14:textId="77777777" w:rsidR="003743D5" w:rsidRPr="003743D5" w:rsidRDefault="003743D5" w:rsidP="00D6249E">
      <w:pPr>
        <w:spacing w:line="276" w:lineRule="auto"/>
        <w:ind w:right="-35"/>
        <w:jc w:val="both"/>
        <w:rPr>
          <w:rFonts w:ascii="Bookman Old Style" w:hAnsi="Bookman Old Style" w:cs="Arial"/>
          <w:b/>
          <w:sz w:val="28"/>
          <w:szCs w:val="28"/>
          <w:lang w:val="el-GR"/>
        </w:rPr>
      </w:pPr>
    </w:p>
    <w:p w14:paraId="53AE4240" w14:textId="77777777" w:rsidR="004D4609" w:rsidRPr="003743D5" w:rsidRDefault="004D4609" w:rsidP="00D6249E">
      <w:pPr>
        <w:spacing w:line="276" w:lineRule="auto"/>
        <w:ind w:right="-35"/>
        <w:jc w:val="both"/>
        <w:rPr>
          <w:rFonts w:ascii="Bookman Old Style" w:hAnsi="Bookman Old Style" w:cs="Arial"/>
          <w:b/>
          <w:sz w:val="28"/>
          <w:szCs w:val="28"/>
          <w:lang w:val="el-GR"/>
        </w:rPr>
      </w:pPr>
    </w:p>
    <w:p w14:paraId="5F6F4431" w14:textId="77777777" w:rsidR="004D4609" w:rsidRPr="003743D5" w:rsidRDefault="004D4609" w:rsidP="00D6249E">
      <w:pPr>
        <w:spacing w:line="276" w:lineRule="auto"/>
        <w:ind w:right="-35"/>
        <w:jc w:val="both"/>
        <w:rPr>
          <w:rFonts w:ascii="Bookman Old Style" w:hAnsi="Bookman Old Style" w:cs="Arial"/>
          <w:b/>
          <w:sz w:val="28"/>
          <w:szCs w:val="28"/>
          <w:lang w:val="el-GR"/>
        </w:rPr>
      </w:pPr>
    </w:p>
    <w:p w14:paraId="557EAAF8" w14:textId="77777777" w:rsidR="00661A31" w:rsidRPr="003743D5" w:rsidRDefault="00661A31" w:rsidP="00D6249E">
      <w:pPr>
        <w:spacing w:line="276" w:lineRule="auto"/>
        <w:ind w:right="-35"/>
        <w:jc w:val="both"/>
        <w:rPr>
          <w:rFonts w:ascii="Bookman Old Style" w:hAnsi="Bookman Old Style" w:cs="Arial"/>
          <w:b/>
          <w:sz w:val="28"/>
          <w:szCs w:val="28"/>
          <w:lang w:val="el-GR"/>
        </w:rPr>
      </w:pPr>
    </w:p>
    <w:p w14:paraId="2AE8CD50" w14:textId="0DDEBF92" w:rsidR="006A35A6" w:rsidRDefault="00422938" w:rsidP="00D6249E">
      <w:pPr>
        <w:spacing w:line="276" w:lineRule="auto"/>
        <w:ind w:right="-35"/>
        <w:jc w:val="both"/>
        <w:rPr>
          <w:rFonts w:ascii="Bookman Old Style" w:hAnsi="Bookman Old Style" w:cs="Arial"/>
          <w:b/>
          <w:sz w:val="28"/>
          <w:szCs w:val="28"/>
          <w:lang w:val="el-GR"/>
        </w:rPr>
      </w:pPr>
      <w:r w:rsidRPr="003743D5">
        <w:rPr>
          <w:rFonts w:ascii="Bookman Old Style" w:hAnsi="Bookman Old Style" w:cs="Arial"/>
          <w:b/>
          <w:sz w:val="28"/>
          <w:szCs w:val="28"/>
          <w:lang w:val="el-GR"/>
        </w:rPr>
        <w:tab/>
      </w:r>
      <w:r w:rsidRPr="003743D5">
        <w:rPr>
          <w:rFonts w:ascii="Bookman Old Style" w:hAnsi="Bookman Old Style" w:cs="Arial"/>
          <w:b/>
          <w:sz w:val="28"/>
          <w:szCs w:val="28"/>
          <w:lang w:val="el-GR"/>
        </w:rPr>
        <w:tab/>
      </w:r>
      <w:r w:rsidRPr="003743D5">
        <w:rPr>
          <w:rFonts w:ascii="Bookman Old Style" w:hAnsi="Bookman Old Style" w:cs="Arial"/>
          <w:b/>
          <w:sz w:val="28"/>
          <w:szCs w:val="28"/>
          <w:lang w:val="el-GR"/>
        </w:rPr>
        <w:tab/>
      </w:r>
      <w:r w:rsidRPr="003743D5">
        <w:rPr>
          <w:rFonts w:ascii="Bookman Old Style" w:hAnsi="Bookman Old Style" w:cs="Arial"/>
          <w:b/>
          <w:sz w:val="28"/>
          <w:szCs w:val="28"/>
          <w:lang w:val="el-GR"/>
        </w:rPr>
        <w:tab/>
      </w:r>
      <w:r w:rsidR="00661A31" w:rsidRPr="003743D5">
        <w:rPr>
          <w:rFonts w:ascii="Bookman Old Style" w:hAnsi="Bookman Old Style" w:cs="Arial"/>
          <w:b/>
          <w:sz w:val="28"/>
          <w:szCs w:val="28"/>
          <w:lang w:val="el-GR"/>
        </w:rPr>
        <w:t xml:space="preserve">               </w:t>
      </w:r>
      <w:r w:rsidRPr="003743D5">
        <w:rPr>
          <w:rFonts w:ascii="Bookman Old Style" w:hAnsi="Bookman Old Style" w:cs="Arial"/>
          <w:b/>
          <w:sz w:val="28"/>
          <w:szCs w:val="28"/>
          <w:lang w:val="el-GR"/>
        </w:rPr>
        <w:t>Λ</w:t>
      </w:r>
      <w:r w:rsidR="006A35A6" w:rsidRPr="003743D5">
        <w:rPr>
          <w:rFonts w:ascii="Bookman Old Style" w:hAnsi="Bookman Old Style" w:cs="Arial"/>
          <w:b/>
          <w:sz w:val="28"/>
          <w:szCs w:val="28"/>
          <w:lang w:val="el-GR"/>
        </w:rPr>
        <w:t>.</w:t>
      </w:r>
      <w:r w:rsidRPr="003743D5">
        <w:rPr>
          <w:rFonts w:ascii="Bookman Old Style" w:hAnsi="Bookman Old Style" w:cs="Arial"/>
          <w:b/>
          <w:sz w:val="28"/>
          <w:szCs w:val="28"/>
          <w:lang w:val="el-GR"/>
        </w:rPr>
        <w:t xml:space="preserve"> ΔΗΜΗΤΡΙΑΔΟΥ-ΑΝΔΡΕΟΥ</w:t>
      </w:r>
      <w:r w:rsidR="006A35A6" w:rsidRPr="003743D5">
        <w:rPr>
          <w:rFonts w:ascii="Bookman Old Style" w:hAnsi="Bookman Old Style" w:cs="Arial"/>
          <w:b/>
          <w:sz w:val="28"/>
          <w:szCs w:val="28"/>
          <w:lang w:val="el-GR"/>
        </w:rPr>
        <w:t>, Δ.</w:t>
      </w:r>
    </w:p>
    <w:p w14:paraId="7E5B1579" w14:textId="77777777" w:rsidR="003743D5" w:rsidRPr="003743D5" w:rsidRDefault="003743D5" w:rsidP="00D6249E">
      <w:pPr>
        <w:spacing w:line="276" w:lineRule="auto"/>
        <w:ind w:right="-35"/>
        <w:jc w:val="both"/>
        <w:rPr>
          <w:rFonts w:ascii="Bookman Old Style" w:hAnsi="Bookman Old Style" w:cs="Arial"/>
          <w:b/>
          <w:sz w:val="28"/>
          <w:szCs w:val="28"/>
          <w:lang w:val="el-GR"/>
        </w:rPr>
      </w:pPr>
    </w:p>
    <w:p w14:paraId="400F793A" w14:textId="77777777" w:rsidR="004D4609" w:rsidRPr="003743D5" w:rsidRDefault="004D4609" w:rsidP="00D6249E">
      <w:pPr>
        <w:spacing w:line="276" w:lineRule="auto"/>
        <w:ind w:right="-35"/>
        <w:jc w:val="both"/>
        <w:rPr>
          <w:rFonts w:ascii="Bookman Old Style" w:hAnsi="Bookman Old Style" w:cs="Arial"/>
          <w:b/>
          <w:sz w:val="28"/>
          <w:szCs w:val="28"/>
          <w:lang w:val="el-GR"/>
        </w:rPr>
      </w:pPr>
    </w:p>
    <w:p w14:paraId="61E01DB6" w14:textId="77777777" w:rsidR="00661A31" w:rsidRPr="003743D5" w:rsidRDefault="00661A31" w:rsidP="00D6249E">
      <w:pPr>
        <w:spacing w:line="276" w:lineRule="auto"/>
        <w:ind w:right="-35"/>
        <w:jc w:val="both"/>
        <w:rPr>
          <w:rFonts w:ascii="Bookman Old Style" w:hAnsi="Bookman Old Style" w:cs="Arial"/>
          <w:b/>
          <w:sz w:val="28"/>
          <w:szCs w:val="28"/>
          <w:lang w:val="el-GR"/>
        </w:rPr>
      </w:pPr>
    </w:p>
    <w:p w14:paraId="54033A7D" w14:textId="77777777" w:rsidR="0058023B" w:rsidRPr="003743D5" w:rsidRDefault="0058023B" w:rsidP="00D6249E">
      <w:pPr>
        <w:spacing w:line="276" w:lineRule="auto"/>
        <w:ind w:right="-35"/>
        <w:jc w:val="both"/>
        <w:rPr>
          <w:rFonts w:ascii="Bookman Old Style" w:hAnsi="Bookman Old Style" w:cs="Arial"/>
          <w:b/>
          <w:sz w:val="28"/>
          <w:szCs w:val="28"/>
          <w:lang w:val="el-GR"/>
        </w:rPr>
      </w:pPr>
    </w:p>
    <w:p w14:paraId="34BBB738" w14:textId="1E815A7B" w:rsidR="00397480" w:rsidRPr="003743D5" w:rsidRDefault="00397480" w:rsidP="00D6249E">
      <w:pPr>
        <w:spacing w:line="276" w:lineRule="auto"/>
        <w:ind w:right="-35"/>
        <w:jc w:val="both"/>
        <w:rPr>
          <w:rFonts w:ascii="Bookman Old Style" w:hAnsi="Bookman Old Style" w:cs="Arial"/>
          <w:b/>
          <w:sz w:val="28"/>
          <w:szCs w:val="28"/>
          <w:lang w:val="el-GR"/>
        </w:rPr>
      </w:pPr>
      <w:r w:rsidRPr="003743D5">
        <w:rPr>
          <w:rFonts w:ascii="Bookman Old Style" w:hAnsi="Bookman Old Style" w:cs="Arial"/>
          <w:b/>
          <w:sz w:val="28"/>
          <w:szCs w:val="28"/>
          <w:lang w:val="el-GR"/>
        </w:rPr>
        <w:tab/>
      </w:r>
      <w:r w:rsidRPr="003743D5">
        <w:rPr>
          <w:rFonts w:ascii="Bookman Old Style" w:hAnsi="Bookman Old Style" w:cs="Arial"/>
          <w:b/>
          <w:sz w:val="28"/>
          <w:szCs w:val="28"/>
          <w:lang w:val="el-GR"/>
        </w:rPr>
        <w:tab/>
      </w:r>
      <w:r w:rsidRPr="003743D5">
        <w:rPr>
          <w:rFonts w:ascii="Bookman Old Style" w:hAnsi="Bookman Old Style" w:cs="Arial"/>
          <w:b/>
          <w:sz w:val="28"/>
          <w:szCs w:val="28"/>
          <w:lang w:val="el-GR"/>
        </w:rPr>
        <w:tab/>
      </w:r>
      <w:r w:rsidRPr="003743D5">
        <w:rPr>
          <w:rFonts w:ascii="Bookman Old Style" w:hAnsi="Bookman Old Style" w:cs="Arial"/>
          <w:b/>
          <w:sz w:val="28"/>
          <w:szCs w:val="28"/>
          <w:lang w:val="el-GR"/>
        </w:rPr>
        <w:tab/>
      </w:r>
      <w:r w:rsidR="00661A31" w:rsidRPr="003743D5">
        <w:rPr>
          <w:rFonts w:ascii="Bookman Old Style" w:hAnsi="Bookman Old Style" w:cs="Arial"/>
          <w:b/>
          <w:sz w:val="28"/>
          <w:szCs w:val="28"/>
          <w:lang w:val="el-GR"/>
        </w:rPr>
        <w:t xml:space="preserve">               </w:t>
      </w:r>
      <w:r w:rsidRPr="003743D5">
        <w:rPr>
          <w:rFonts w:ascii="Bookman Old Style" w:hAnsi="Bookman Old Style" w:cs="Arial"/>
          <w:b/>
          <w:sz w:val="28"/>
          <w:szCs w:val="28"/>
          <w:lang w:val="el-GR"/>
        </w:rPr>
        <w:t>Α. ΔΑΥΙΔ, Δ.</w:t>
      </w:r>
    </w:p>
    <w:p w14:paraId="68B67DDD" w14:textId="77777777" w:rsidR="00397480" w:rsidRPr="003743D5" w:rsidRDefault="00397480" w:rsidP="00D6249E">
      <w:pPr>
        <w:spacing w:line="276" w:lineRule="auto"/>
        <w:ind w:right="-35"/>
        <w:jc w:val="both"/>
        <w:rPr>
          <w:rFonts w:ascii="Bookman Old Style" w:hAnsi="Bookman Old Style" w:cs="Arial"/>
          <w:b/>
          <w:sz w:val="28"/>
          <w:szCs w:val="28"/>
          <w:lang w:val="el-GR"/>
        </w:rPr>
      </w:pPr>
    </w:p>
    <w:p w14:paraId="40194D6E" w14:textId="77777777" w:rsidR="006A35A6" w:rsidRPr="00D6249E" w:rsidRDefault="006A35A6" w:rsidP="00D6249E">
      <w:pPr>
        <w:spacing w:line="276" w:lineRule="auto"/>
        <w:ind w:right="-35"/>
        <w:jc w:val="both"/>
        <w:rPr>
          <w:rFonts w:ascii="Bookman Old Style" w:hAnsi="Bookman Old Style" w:cs="Arial"/>
          <w:b/>
          <w:sz w:val="26"/>
          <w:szCs w:val="26"/>
          <w:lang w:val="el-GR"/>
        </w:rPr>
      </w:pPr>
    </w:p>
    <w:p w14:paraId="1FA6EC6C" w14:textId="1605B6A8" w:rsidR="006A35A6" w:rsidRPr="00D6249E" w:rsidRDefault="006A35A6" w:rsidP="00D6249E">
      <w:pPr>
        <w:spacing w:line="276" w:lineRule="auto"/>
        <w:ind w:right="-35"/>
        <w:jc w:val="both"/>
        <w:rPr>
          <w:rFonts w:ascii="Bookman Old Style" w:hAnsi="Bookman Old Style" w:cs="Arial"/>
          <w:b/>
          <w:sz w:val="26"/>
          <w:szCs w:val="26"/>
          <w:lang w:val="el-GR"/>
        </w:rPr>
      </w:pPr>
    </w:p>
    <w:sectPr w:rsidR="006A35A6" w:rsidRPr="00D6249E"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F8C8" w14:textId="77777777" w:rsidR="00A97622" w:rsidRDefault="00A97622" w:rsidP="00B43113">
      <w:r>
        <w:separator/>
      </w:r>
    </w:p>
  </w:endnote>
  <w:endnote w:type="continuationSeparator" w:id="0">
    <w:p w14:paraId="3EBD7316" w14:textId="77777777" w:rsidR="00A97622" w:rsidRDefault="00A97622"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CBB4F" w14:textId="77777777" w:rsidR="00A97622" w:rsidRDefault="00A97622" w:rsidP="00B43113">
      <w:r>
        <w:separator/>
      </w:r>
    </w:p>
  </w:footnote>
  <w:footnote w:type="continuationSeparator" w:id="0">
    <w:p w14:paraId="2AFE101C" w14:textId="77777777" w:rsidR="00A97622" w:rsidRDefault="00A97622" w:rsidP="00B43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16CA7491" w:rsidR="00CF75E4" w:rsidRDefault="00CF75E4">
    <w:pPr>
      <w:pStyle w:val="Header"/>
      <w:jc w:val="center"/>
    </w:pPr>
    <w:r>
      <w:fldChar w:fldCharType="begin"/>
    </w:r>
    <w:r>
      <w:instrText xml:space="preserve"> PAGE   \* MERGEFORMAT </w:instrText>
    </w:r>
    <w:r>
      <w:fldChar w:fldCharType="separate"/>
    </w:r>
    <w:r w:rsidR="008A28CC">
      <w:rPr>
        <w:noProof/>
      </w:rPr>
      <w:t>20</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9BE"/>
    <w:rsid w:val="00040D98"/>
    <w:rsid w:val="00042D4F"/>
    <w:rsid w:val="00043077"/>
    <w:rsid w:val="000437F7"/>
    <w:rsid w:val="000539EB"/>
    <w:rsid w:val="00053E4D"/>
    <w:rsid w:val="000576DF"/>
    <w:rsid w:val="00057AE4"/>
    <w:rsid w:val="00057B74"/>
    <w:rsid w:val="00061084"/>
    <w:rsid w:val="0006108F"/>
    <w:rsid w:val="0006133B"/>
    <w:rsid w:val="000613C5"/>
    <w:rsid w:val="00062D2B"/>
    <w:rsid w:val="00063486"/>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4171"/>
    <w:rsid w:val="000C432E"/>
    <w:rsid w:val="000C7D49"/>
    <w:rsid w:val="000D1294"/>
    <w:rsid w:val="000D512B"/>
    <w:rsid w:val="000D5E56"/>
    <w:rsid w:val="000D763E"/>
    <w:rsid w:val="000E4325"/>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6479C"/>
    <w:rsid w:val="00171E30"/>
    <w:rsid w:val="001725B7"/>
    <w:rsid w:val="0017450C"/>
    <w:rsid w:val="0017483E"/>
    <w:rsid w:val="0018425D"/>
    <w:rsid w:val="00190856"/>
    <w:rsid w:val="001950A7"/>
    <w:rsid w:val="00197D26"/>
    <w:rsid w:val="001A0D7E"/>
    <w:rsid w:val="001A1A4B"/>
    <w:rsid w:val="001B23EF"/>
    <w:rsid w:val="001B3040"/>
    <w:rsid w:val="001B4997"/>
    <w:rsid w:val="001C3A40"/>
    <w:rsid w:val="001C5EF1"/>
    <w:rsid w:val="001D0165"/>
    <w:rsid w:val="001E05AA"/>
    <w:rsid w:val="001E09D1"/>
    <w:rsid w:val="001E0A02"/>
    <w:rsid w:val="001E2107"/>
    <w:rsid w:val="001E2109"/>
    <w:rsid w:val="001E3F2C"/>
    <w:rsid w:val="001E47BA"/>
    <w:rsid w:val="001E6E2E"/>
    <w:rsid w:val="001E7A53"/>
    <w:rsid w:val="001E7E64"/>
    <w:rsid w:val="001F2D57"/>
    <w:rsid w:val="001F3DAA"/>
    <w:rsid w:val="001F62D3"/>
    <w:rsid w:val="00201878"/>
    <w:rsid w:val="00202454"/>
    <w:rsid w:val="0020248C"/>
    <w:rsid w:val="00202A2C"/>
    <w:rsid w:val="00202F30"/>
    <w:rsid w:val="00203D28"/>
    <w:rsid w:val="002107FF"/>
    <w:rsid w:val="00211B73"/>
    <w:rsid w:val="002121AF"/>
    <w:rsid w:val="00212C84"/>
    <w:rsid w:val="00216C55"/>
    <w:rsid w:val="00221854"/>
    <w:rsid w:val="00226104"/>
    <w:rsid w:val="00234A95"/>
    <w:rsid w:val="002354CF"/>
    <w:rsid w:val="00237318"/>
    <w:rsid w:val="002375E9"/>
    <w:rsid w:val="0024555A"/>
    <w:rsid w:val="00246242"/>
    <w:rsid w:val="002511DC"/>
    <w:rsid w:val="00252595"/>
    <w:rsid w:val="002530D9"/>
    <w:rsid w:val="002534A2"/>
    <w:rsid w:val="002537E5"/>
    <w:rsid w:val="00253890"/>
    <w:rsid w:val="00254DD1"/>
    <w:rsid w:val="00254EE9"/>
    <w:rsid w:val="00255631"/>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554"/>
    <w:rsid w:val="00291651"/>
    <w:rsid w:val="00295602"/>
    <w:rsid w:val="0029600A"/>
    <w:rsid w:val="00296605"/>
    <w:rsid w:val="002A182D"/>
    <w:rsid w:val="002A4ED5"/>
    <w:rsid w:val="002A631C"/>
    <w:rsid w:val="002A67AF"/>
    <w:rsid w:val="002B0A78"/>
    <w:rsid w:val="002B2428"/>
    <w:rsid w:val="002B2638"/>
    <w:rsid w:val="002B2C51"/>
    <w:rsid w:val="002B74E9"/>
    <w:rsid w:val="002C0A93"/>
    <w:rsid w:val="002C1912"/>
    <w:rsid w:val="002C3BDD"/>
    <w:rsid w:val="002C3E1F"/>
    <w:rsid w:val="002C6685"/>
    <w:rsid w:val="002C7F3B"/>
    <w:rsid w:val="002D128B"/>
    <w:rsid w:val="002D1618"/>
    <w:rsid w:val="002D16C8"/>
    <w:rsid w:val="002D19CB"/>
    <w:rsid w:val="002D2DF4"/>
    <w:rsid w:val="002D3C1D"/>
    <w:rsid w:val="002D4F96"/>
    <w:rsid w:val="002D5476"/>
    <w:rsid w:val="002D6034"/>
    <w:rsid w:val="002D7BF1"/>
    <w:rsid w:val="002E4F31"/>
    <w:rsid w:val="002E5CA3"/>
    <w:rsid w:val="002E73C6"/>
    <w:rsid w:val="002E7735"/>
    <w:rsid w:val="002F0461"/>
    <w:rsid w:val="002F671E"/>
    <w:rsid w:val="00302035"/>
    <w:rsid w:val="0030216D"/>
    <w:rsid w:val="003031D4"/>
    <w:rsid w:val="00305768"/>
    <w:rsid w:val="003103D8"/>
    <w:rsid w:val="00316BE5"/>
    <w:rsid w:val="00316C5D"/>
    <w:rsid w:val="003231CA"/>
    <w:rsid w:val="0032535A"/>
    <w:rsid w:val="00327D19"/>
    <w:rsid w:val="00333E33"/>
    <w:rsid w:val="00335FEF"/>
    <w:rsid w:val="00337703"/>
    <w:rsid w:val="00337BC4"/>
    <w:rsid w:val="003415FE"/>
    <w:rsid w:val="003472C7"/>
    <w:rsid w:val="003479F7"/>
    <w:rsid w:val="0035313C"/>
    <w:rsid w:val="003561FF"/>
    <w:rsid w:val="003605F5"/>
    <w:rsid w:val="00362EB6"/>
    <w:rsid w:val="0036532E"/>
    <w:rsid w:val="0037086D"/>
    <w:rsid w:val="00372F08"/>
    <w:rsid w:val="003743D5"/>
    <w:rsid w:val="00374EB1"/>
    <w:rsid w:val="00380609"/>
    <w:rsid w:val="003809F8"/>
    <w:rsid w:val="00380DED"/>
    <w:rsid w:val="00381D97"/>
    <w:rsid w:val="00394B2D"/>
    <w:rsid w:val="00395154"/>
    <w:rsid w:val="00396B96"/>
    <w:rsid w:val="00397480"/>
    <w:rsid w:val="003A0304"/>
    <w:rsid w:val="003A158D"/>
    <w:rsid w:val="003A1852"/>
    <w:rsid w:val="003A3BA5"/>
    <w:rsid w:val="003A71D1"/>
    <w:rsid w:val="003B5736"/>
    <w:rsid w:val="003B6088"/>
    <w:rsid w:val="003C0033"/>
    <w:rsid w:val="003C2E3E"/>
    <w:rsid w:val="003C440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427"/>
    <w:rsid w:val="00401B3C"/>
    <w:rsid w:val="00402401"/>
    <w:rsid w:val="0040345F"/>
    <w:rsid w:val="00403528"/>
    <w:rsid w:val="004038F0"/>
    <w:rsid w:val="00403FE5"/>
    <w:rsid w:val="00410E17"/>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2187"/>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0FE6"/>
    <w:rsid w:val="00482618"/>
    <w:rsid w:val="00484799"/>
    <w:rsid w:val="004850CD"/>
    <w:rsid w:val="0048527C"/>
    <w:rsid w:val="00486CB3"/>
    <w:rsid w:val="00492802"/>
    <w:rsid w:val="0049549F"/>
    <w:rsid w:val="00497E25"/>
    <w:rsid w:val="004A086C"/>
    <w:rsid w:val="004A0D43"/>
    <w:rsid w:val="004A24F9"/>
    <w:rsid w:val="004A44D5"/>
    <w:rsid w:val="004B3154"/>
    <w:rsid w:val="004B795E"/>
    <w:rsid w:val="004C2E05"/>
    <w:rsid w:val="004D25BD"/>
    <w:rsid w:val="004D4609"/>
    <w:rsid w:val="004D5B88"/>
    <w:rsid w:val="004E04A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47EE8"/>
    <w:rsid w:val="00551AF3"/>
    <w:rsid w:val="0055241D"/>
    <w:rsid w:val="0056063D"/>
    <w:rsid w:val="005629C5"/>
    <w:rsid w:val="0056502D"/>
    <w:rsid w:val="00571FD5"/>
    <w:rsid w:val="00573B9E"/>
    <w:rsid w:val="005764D2"/>
    <w:rsid w:val="0058023B"/>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3D27"/>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32C0"/>
    <w:rsid w:val="00624596"/>
    <w:rsid w:val="00632211"/>
    <w:rsid w:val="006334D9"/>
    <w:rsid w:val="00634CA2"/>
    <w:rsid w:val="006351AC"/>
    <w:rsid w:val="00637F1D"/>
    <w:rsid w:val="006444DE"/>
    <w:rsid w:val="00646095"/>
    <w:rsid w:val="00647A1A"/>
    <w:rsid w:val="006517ED"/>
    <w:rsid w:val="00652146"/>
    <w:rsid w:val="00654F9F"/>
    <w:rsid w:val="00655996"/>
    <w:rsid w:val="0065724A"/>
    <w:rsid w:val="00660471"/>
    <w:rsid w:val="006618B0"/>
    <w:rsid w:val="00661A31"/>
    <w:rsid w:val="00670778"/>
    <w:rsid w:val="006711C2"/>
    <w:rsid w:val="006732A5"/>
    <w:rsid w:val="00674ACA"/>
    <w:rsid w:val="006757D1"/>
    <w:rsid w:val="006773DC"/>
    <w:rsid w:val="00683514"/>
    <w:rsid w:val="00685A5E"/>
    <w:rsid w:val="006862A3"/>
    <w:rsid w:val="006876CA"/>
    <w:rsid w:val="006906F6"/>
    <w:rsid w:val="0069114A"/>
    <w:rsid w:val="0069157F"/>
    <w:rsid w:val="00691BEC"/>
    <w:rsid w:val="006924A3"/>
    <w:rsid w:val="00692BC5"/>
    <w:rsid w:val="00694AF3"/>
    <w:rsid w:val="00697CB0"/>
    <w:rsid w:val="006A030A"/>
    <w:rsid w:val="006A037C"/>
    <w:rsid w:val="006A219E"/>
    <w:rsid w:val="006A35A6"/>
    <w:rsid w:val="006A457C"/>
    <w:rsid w:val="006A5F80"/>
    <w:rsid w:val="006A78A8"/>
    <w:rsid w:val="006B1138"/>
    <w:rsid w:val="006B1A70"/>
    <w:rsid w:val="006B3E07"/>
    <w:rsid w:val="006C0510"/>
    <w:rsid w:val="006D20A9"/>
    <w:rsid w:val="006D7166"/>
    <w:rsid w:val="006D756C"/>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93"/>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1FF9"/>
    <w:rsid w:val="00765F70"/>
    <w:rsid w:val="007715DB"/>
    <w:rsid w:val="00773FD7"/>
    <w:rsid w:val="00774795"/>
    <w:rsid w:val="007748E6"/>
    <w:rsid w:val="007758DA"/>
    <w:rsid w:val="00776545"/>
    <w:rsid w:val="00776D6B"/>
    <w:rsid w:val="00777A4E"/>
    <w:rsid w:val="00781979"/>
    <w:rsid w:val="007916E7"/>
    <w:rsid w:val="00791BEC"/>
    <w:rsid w:val="00796BE4"/>
    <w:rsid w:val="007A035D"/>
    <w:rsid w:val="007A1FA8"/>
    <w:rsid w:val="007A57DA"/>
    <w:rsid w:val="007B66F0"/>
    <w:rsid w:val="007B7C5B"/>
    <w:rsid w:val="007C0DBD"/>
    <w:rsid w:val="007C114B"/>
    <w:rsid w:val="007C5251"/>
    <w:rsid w:val="007C56EF"/>
    <w:rsid w:val="007D15BB"/>
    <w:rsid w:val="007D15FD"/>
    <w:rsid w:val="007D3597"/>
    <w:rsid w:val="007D7DDA"/>
    <w:rsid w:val="007E3146"/>
    <w:rsid w:val="007E3626"/>
    <w:rsid w:val="007E43A8"/>
    <w:rsid w:val="007E4F68"/>
    <w:rsid w:val="007F0ED2"/>
    <w:rsid w:val="007F1C23"/>
    <w:rsid w:val="007F6B75"/>
    <w:rsid w:val="007F7BAA"/>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3D99"/>
    <w:rsid w:val="00846C09"/>
    <w:rsid w:val="00851456"/>
    <w:rsid w:val="008518F5"/>
    <w:rsid w:val="00852ED4"/>
    <w:rsid w:val="00853085"/>
    <w:rsid w:val="00854B6B"/>
    <w:rsid w:val="008609BA"/>
    <w:rsid w:val="00865FA3"/>
    <w:rsid w:val="0087152E"/>
    <w:rsid w:val="0087268E"/>
    <w:rsid w:val="00874F0C"/>
    <w:rsid w:val="00876A7C"/>
    <w:rsid w:val="0087796B"/>
    <w:rsid w:val="00887876"/>
    <w:rsid w:val="00891B19"/>
    <w:rsid w:val="00893352"/>
    <w:rsid w:val="008969EE"/>
    <w:rsid w:val="00896E38"/>
    <w:rsid w:val="008A28CC"/>
    <w:rsid w:val="008A317B"/>
    <w:rsid w:val="008A4C74"/>
    <w:rsid w:val="008A4C98"/>
    <w:rsid w:val="008A6C8C"/>
    <w:rsid w:val="008A7196"/>
    <w:rsid w:val="008A71DD"/>
    <w:rsid w:val="008B113A"/>
    <w:rsid w:val="008B51D7"/>
    <w:rsid w:val="008C0241"/>
    <w:rsid w:val="008C17BB"/>
    <w:rsid w:val="008C1EB2"/>
    <w:rsid w:val="008C208A"/>
    <w:rsid w:val="008C320C"/>
    <w:rsid w:val="008C3FF8"/>
    <w:rsid w:val="008C4F42"/>
    <w:rsid w:val="008D1BCB"/>
    <w:rsid w:val="008D2CCC"/>
    <w:rsid w:val="008E2F19"/>
    <w:rsid w:val="008E307B"/>
    <w:rsid w:val="008E393D"/>
    <w:rsid w:val="008E3B98"/>
    <w:rsid w:val="008E5738"/>
    <w:rsid w:val="008F02A1"/>
    <w:rsid w:val="008F0FD5"/>
    <w:rsid w:val="008F2A45"/>
    <w:rsid w:val="008F40F2"/>
    <w:rsid w:val="008F4867"/>
    <w:rsid w:val="008F7E1A"/>
    <w:rsid w:val="009011BE"/>
    <w:rsid w:val="00904291"/>
    <w:rsid w:val="00906E2C"/>
    <w:rsid w:val="00907AA4"/>
    <w:rsid w:val="00910F1D"/>
    <w:rsid w:val="00912167"/>
    <w:rsid w:val="00912D56"/>
    <w:rsid w:val="00913BEE"/>
    <w:rsid w:val="009147CC"/>
    <w:rsid w:val="00916EE8"/>
    <w:rsid w:val="00925D22"/>
    <w:rsid w:val="009323E9"/>
    <w:rsid w:val="00932F16"/>
    <w:rsid w:val="0093377F"/>
    <w:rsid w:val="0093471C"/>
    <w:rsid w:val="009363BE"/>
    <w:rsid w:val="00940BE8"/>
    <w:rsid w:val="00942638"/>
    <w:rsid w:val="00946350"/>
    <w:rsid w:val="009517D6"/>
    <w:rsid w:val="009529B8"/>
    <w:rsid w:val="00952D41"/>
    <w:rsid w:val="00953421"/>
    <w:rsid w:val="00956954"/>
    <w:rsid w:val="00960BCE"/>
    <w:rsid w:val="0096195E"/>
    <w:rsid w:val="00962E2D"/>
    <w:rsid w:val="00963265"/>
    <w:rsid w:val="00963291"/>
    <w:rsid w:val="00963C18"/>
    <w:rsid w:val="00964907"/>
    <w:rsid w:val="00970CCD"/>
    <w:rsid w:val="0097108C"/>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3202E"/>
    <w:rsid w:val="00A37498"/>
    <w:rsid w:val="00A41627"/>
    <w:rsid w:val="00A427B0"/>
    <w:rsid w:val="00A4361D"/>
    <w:rsid w:val="00A450CA"/>
    <w:rsid w:val="00A46EB5"/>
    <w:rsid w:val="00A5037E"/>
    <w:rsid w:val="00A504C2"/>
    <w:rsid w:val="00A60D55"/>
    <w:rsid w:val="00A63F0F"/>
    <w:rsid w:val="00A66D3C"/>
    <w:rsid w:val="00A67896"/>
    <w:rsid w:val="00A72364"/>
    <w:rsid w:val="00A7422C"/>
    <w:rsid w:val="00A8256A"/>
    <w:rsid w:val="00A82703"/>
    <w:rsid w:val="00A82A05"/>
    <w:rsid w:val="00A8544F"/>
    <w:rsid w:val="00A85F79"/>
    <w:rsid w:val="00A870CE"/>
    <w:rsid w:val="00A916F0"/>
    <w:rsid w:val="00A9681C"/>
    <w:rsid w:val="00A97622"/>
    <w:rsid w:val="00AA0AA7"/>
    <w:rsid w:val="00AA0C4D"/>
    <w:rsid w:val="00AA17AC"/>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D7A69"/>
    <w:rsid w:val="00AE75E3"/>
    <w:rsid w:val="00AF455A"/>
    <w:rsid w:val="00AF5968"/>
    <w:rsid w:val="00B0364D"/>
    <w:rsid w:val="00B123FB"/>
    <w:rsid w:val="00B12C41"/>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2EC6"/>
    <w:rsid w:val="00B5485A"/>
    <w:rsid w:val="00B570CA"/>
    <w:rsid w:val="00B65C55"/>
    <w:rsid w:val="00B65D57"/>
    <w:rsid w:val="00B670A0"/>
    <w:rsid w:val="00B70A2B"/>
    <w:rsid w:val="00B71167"/>
    <w:rsid w:val="00B7127B"/>
    <w:rsid w:val="00B71297"/>
    <w:rsid w:val="00B72575"/>
    <w:rsid w:val="00B72E2B"/>
    <w:rsid w:val="00B76662"/>
    <w:rsid w:val="00B777E2"/>
    <w:rsid w:val="00B80F14"/>
    <w:rsid w:val="00B8101E"/>
    <w:rsid w:val="00B87C02"/>
    <w:rsid w:val="00B90239"/>
    <w:rsid w:val="00B917F7"/>
    <w:rsid w:val="00B91E8C"/>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1EA5"/>
    <w:rsid w:val="00C02EE5"/>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2900"/>
    <w:rsid w:val="00C93BFD"/>
    <w:rsid w:val="00C9585F"/>
    <w:rsid w:val="00CA3517"/>
    <w:rsid w:val="00CA5A27"/>
    <w:rsid w:val="00CA795D"/>
    <w:rsid w:val="00CB0F51"/>
    <w:rsid w:val="00CB33E2"/>
    <w:rsid w:val="00CB41A7"/>
    <w:rsid w:val="00CB5E41"/>
    <w:rsid w:val="00CB6213"/>
    <w:rsid w:val="00CB6271"/>
    <w:rsid w:val="00CB685D"/>
    <w:rsid w:val="00CB77A3"/>
    <w:rsid w:val="00CB7EC8"/>
    <w:rsid w:val="00CC1652"/>
    <w:rsid w:val="00CC4F27"/>
    <w:rsid w:val="00CC59AD"/>
    <w:rsid w:val="00CC6C47"/>
    <w:rsid w:val="00CD07A6"/>
    <w:rsid w:val="00CD4379"/>
    <w:rsid w:val="00CD7C84"/>
    <w:rsid w:val="00CE3332"/>
    <w:rsid w:val="00CE50CF"/>
    <w:rsid w:val="00CF46C0"/>
    <w:rsid w:val="00CF5294"/>
    <w:rsid w:val="00CF5514"/>
    <w:rsid w:val="00CF5E2E"/>
    <w:rsid w:val="00CF74DC"/>
    <w:rsid w:val="00CF75E4"/>
    <w:rsid w:val="00D009E0"/>
    <w:rsid w:val="00D06943"/>
    <w:rsid w:val="00D200B0"/>
    <w:rsid w:val="00D2154C"/>
    <w:rsid w:val="00D227FD"/>
    <w:rsid w:val="00D23897"/>
    <w:rsid w:val="00D27408"/>
    <w:rsid w:val="00D30849"/>
    <w:rsid w:val="00D32F9D"/>
    <w:rsid w:val="00D3529A"/>
    <w:rsid w:val="00D35EA8"/>
    <w:rsid w:val="00D35F65"/>
    <w:rsid w:val="00D366B0"/>
    <w:rsid w:val="00D437C2"/>
    <w:rsid w:val="00D448A0"/>
    <w:rsid w:val="00D4581D"/>
    <w:rsid w:val="00D4778A"/>
    <w:rsid w:val="00D47FDB"/>
    <w:rsid w:val="00D50F95"/>
    <w:rsid w:val="00D57A94"/>
    <w:rsid w:val="00D60DD5"/>
    <w:rsid w:val="00D6249E"/>
    <w:rsid w:val="00D67FAD"/>
    <w:rsid w:val="00D75F27"/>
    <w:rsid w:val="00D76012"/>
    <w:rsid w:val="00D85EB2"/>
    <w:rsid w:val="00D874F9"/>
    <w:rsid w:val="00D92972"/>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7168"/>
    <w:rsid w:val="00E33F98"/>
    <w:rsid w:val="00E35746"/>
    <w:rsid w:val="00E41884"/>
    <w:rsid w:val="00E41F0F"/>
    <w:rsid w:val="00E4347D"/>
    <w:rsid w:val="00E43ECC"/>
    <w:rsid w:val="00E44E03"/>
    <w:rsid w:val="00E44EE8"/>
    <w:rsid w:val="00E50D40"/>
    <w:rsid w:val="00E50EB3"/>
    <w:rsid w:val="00E544DA"/>
    <w:rsid w:val="00E55A0A"/>
    <w:rsid w:val="00E6403D"/>
    <w:rsid w:val="00E6449D"/>
    <w:rsid w:val="00E70193"/>
    <w:rsid w:val="00E70BA5"/>
    <w:rsid w:val="00E71828"/>
    <w:rsid w:val="00E728D3"/>
    <w:rsid w:val="00E76BAB"/>
    <w:rsid w:val="00E77455"/>
    <w:rsid w:val="00E81A0F"/>
    <w:rsid w:val="00E845CA"/>
    <w:rsid w:val="00E84F44"/>
    <w:rsid w:val="00E86246"/>
    <w:rsid w:val="00E87640"/>
    <w:rsid w:val="00E92549"/>
    <w:rsid w:val="00EA0955"/>
    <w:rsid w:val="00EA61A4"/>
    <w:rsid w:val="00EB04B4"/>
    <w:rsid w:val="00EB5DC6"/>
    <w:rsid w:val="00EC197A"/>
    <w:rsid w:val="00EC2763"/>
    <w:rsid w:val="00EC4F75"/>
    <w:rsid w:val="00ED36A3"/>
    <w:rsid w:val="00ED548F"/>
    <w:rsid w:val="00ED5EE9"/>
    <w:rsid w:val="00EE19A2"/>
    <w:rsid w:val="00EE2726"/>
    <w:rsid w:val="00EF1232"/>
    <w:rsid w:val="00EF352D"/>
    <w:rsid w:val="00EF4076"/>
    <w:rsid w:val="00F005B8"/>
    <w:rsid w:val="00F00823"/>
    <w:rsid w:val="00F0424A"/>
    <w:rsid w:val="00F14626"/>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96271"/>
    <w:rsid w:val="00FA0908"/>
    <w:rsid w:val="00FA11F3"/>
    <w:rsid w:val="00FA39C7"/>
    <w:rsid w:val="00FB715D"/>
    <w:rsid w:val="00FB78D5"/>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898"/>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normal1">
    <w:name w:val="normal1"/>
    <w:basedOn w:val="DefaultParagraphFont"/>
    <w:rsid w:val="002F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6265294">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3CBA-E255-4951-AB64-8EA124DE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3957</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2023-12-11T08:39:00Z</cp:lastPrinted>
  <dcterms:created xsi:type="dcterms:W3CDTF">2023-12-14T07:40:00Z</dcterms:created>
  <dcterms:modified xsi:type="dcterms:W3CDTF">2023-12-14T07:40:00Z</dcterms:modified>
</cp:coreProperties>
</file>